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833 vom 13. Dezember 2021</w:t>
      </w:r>
    </w:p>
    <w:p>
      <w:r>
        <w:t>VD Tribunal cantonal, 2021-12-13, FR</w:t>
      </w:r>
    </w:p>
    <w:p>
      <w:r>
        <w:rPr>
          <w:b/>
        </w:rPr>
        <w:t xml:space="preserve">Quelle: </w:t>
      </w:r>
      <w:r>
        <w:t>https://mcp.opencaselaw.ch/entscheid/vd_findinfo_Arr_t___2021___833</w:t>
      </w:r>
    </w:p>
    <w:p>
      <w:r>
        <w:t>FR: VD_FINDINFO Arrêt / 2021 / 833 du 13 décembre 2021</w:t>
      </w:r>
    </w:p>
    <w:p>
      <w:r>
        <w:t>IT: VD_FINDINFO Arrêt / 2021 / 833 del 13 dicembre 2021</w:t>
      </w:r>
    </w:p>
    <w:p>
      <w:pPr>
        <w:pStyle w:val="Heading2"/>
      </w:pPr>
      <w:r>
        <w:t>Regeste</w:t>
      </w:r>
    </w:p>
    <w:p>
      <w:r>
        <w:t>ACCIDENT PROFESSIONNEL, RENTE D'INVALIDITÉ, INDEMNITÉ POUR ATTEINTE À L'INTÉGRITÉ, REJET DE LA DEMANDE, FORCE PROBANTE, LIBRE APPRÉCIATION DES PREUVES | 18 al. 1 LAA, 24 al. 1 LAA, 25 al. 1 LAA, 6 LAA, 36 al. 1 OLAA, 36 al. 4 OLAA</w:t>
      </w:r>
    </w:p>
    <w:p>
      <w:pPr>
        <w:pStyle w:val="Heading2"/>
      </w:pPr>
      <w:r>
        <w:t>Erwägungen</w:t>
      </w:r>
    </w:p>
    <w:p>
      <w:r>
        <w:rPr>
          <w:b/>
        </w:rPr>
        <w:t>E. 5</w:t>
      </w:r>
    </w:p>
    <w:p>
      <w:r>
        <w:t>% (SPE droit) ; 8 % (douleurs sacro-iliaques bilatérales) ; 8 % (éventration [douleurs, troubles du transit]). Ce rapport d’expertise se termine comme suit : “ L’IPP [incapacité permanente partielle] que j’ai évalué est de 51 % en dehors des séquelles psychologiques. Cette IPP n’est pas compatible avec une capacité de travail de 100% même dans une activité professionnelle adaptée. La capacité de travail peut être évaluée à peine à 50 %. Il est incapable de maintenir un rendement pendant plus de la moitié du temps et cela semble encore surestimé à mon avis. Les séquelles abdominales sont totalement incompatibles avec le port de charges. Il peut se déplacer sur une distance courte par période de 10 à 15 minutes. « Les éléments suivants décrits par le docteur C.________ sont compatibles avec son état. - il peut exercer une activité sédentaire ou semi-sédentaire dans laquelle il puisse alterner la position debout la position assise. - il doit éviter les travaux penchés en avant ; - il doit éviter de marcher en terrain irrégulier ; - de cour[t]s déplacements à plat sont possibles » La paralysie du SPE est bilatérale. Selon la table que vous m’avez produite l’évaluation est de 10% à gauche et de 5% à droite. Atteinte sacro iliaque bilatérale 10% (docteur C.________ ) La sciatalgie gauche permanente doit être évaluée à 10% Pas d’évolution des problèmes abdominaux séquellaires ? Pas d’évaluation psychologique ? Au total avec les tables que vous me fournissez l’évaluation peut être estimée en absence d’évaluation digestives et psychologique et sans pondération à 35%. CONCUSIONS Prévoir pour argumenter la demande d’expertise • Un bilan neuro psychologique pour évaluation des séquelles et établissement de l’IPP final. • Un bilan neurologique et évaluation récente des atteintes des nerfs sciatiques poplités externes. • Bilan et évaluation des troubles psychologiques par psychiatre. L’ensemble de ces points a été passé sous silence dans l’évaluation des séquelles. Accident du 21 10 2015 Etat antérieur. Aucun. Déficit fonctionnel temporaire. 100% Du 21 10 2015 au 07 12 2015</w:t>
      </w:r>
    </w:p>
    <w:p>
      <w:r>
        <w:rPr>
          <w:b/>
        </w:rPr>
        <w:t>E. 12</w:t>
      </w:r>
    </w:p>
    <w:p>
      <w:r>
        <w:t>2015 au 10 02 2016. 25 au 27 mai 2016 CHU. Du18 octobre au 25. Du 26 septembre au 7 Du 01 au 05 12 2018. 70% Du 11 02 2016 au 24 05 2016 ” ; - un rapport d’expertise psychologique des 23 août et 1 er octobre 2019 du Dr A.________, expert judiciaire en France, qui a mis en évidence chez l’assuré : un stress post traumatique patent avec réminiscences, syndrome de répétition, cauchemars, des ruminations morbides vis-à-vis du chef de chantier qui, du fait de son obstination, avait conduit à la survenance de l’accident, des ruminations morbides vis-à-vis de l’entreprise et de la prise en charge par l’assurance, pour les premiers, en l’absence de prise de nouvelles, pour les seconds, par la non reconnaissance de sa souffrance physique et psychique, une perte de l’estime de soi en regard des séquelles physiques imputables à l’accident qui compromettaient très sérieusement son avenir professionnel, ainsi qu’une atteinte narcissique sévère dans son image d’homme et de mari vis-à-vis de son épouse ainsi que l’image de père vis-à-vis de ses enfants. Cet expert a conclu qu’il existait bien des séquelles psychologiques de l’accident du 21 octobre 2015 qui, si elles n’entrainaient pas à elles seules une incapacité de travail, entamaient très certainement les capacités de l’assuré à reprendre son travail ; leur association aux séquelles physiques décrites par ailleurs empêchait de façon totale et définitive la reprise du travail de conducteur d’engins. Pour le surplus, la capacité de l’assuré à occuper un « travail quelconque » était de 80 %, avec la précision qu’elle devait s’apprécier par la prise en compte des séquelles à la fois physiques et psychiques. Les troubles psychiques présentés par l’assuré pouvaient être qualifiés de légers, de par l’importance des perturbations occasionnées dans sa vie quotidienne. A la question de savoir si le versement d’un montant en capital de 38'626 fr. 20 était susceptible d’apporter une amélioration significative de l’état psychique de l’assuré, et par la même occasion de faire disparaître toute baisse de rendement sur un plan professionnel, cet expert a répondu que l’indemnisation des séquelles à l’accident palliait aux conséquences financières du sinistre, apportait une part de reconnaissance de la victime mais n’était en aucun cas un acte thérapeutique en matière psychopathologie. Le 28 février 2020, le Dr R.________ a fait une appréciation médicale complémentaire sur le taux de l’indemnité pour atteinte à l’intégrité dont il ressort ce qui suit : “ Polytraumatisme dans un chantier avec atteinte abdominale nécessitant une résection segmentaire du grêle et de multiples laparotomies se compliquant par une éventration ayant nécessité, en octobre 2017, une cure d’éventration, intervention chirurgicale qui a stabilisé le problème et pour lequel selon le barème d’atteinte à l’intégrité, table 9, item 3, ne donne pas lieu à une augmentation de l’estimation de l’atteinte à l’intégrité. Sur le plan séquellaire, présence d’une atteinte du nerf sciatique poplité externe avec un déficit neurologique résiduel pour lequel l’atteinte à l’intégrité a été estimée lors de l’examen final du 07.12.2017. En ce qui concerne le traitement à long terme, du fait de l’atteinte du nerf sciatique poplité externe G [gauche] résiduel, l’indication de soutien sous forme d’attelle anti-step peut être donnée. Antalgie à la demande. Paracétamol ou AINS dont la quantité est à moduler par le médecin-traitant. ” Par décision sur opposition du 3 mars 2020, la CNA a partiellement admis l’opposition de l’assuré. S’agissant du droit à la rente invalidité de l’assurance-accidents, elle a retenu que les rapports médicaux auxquels se référait l’avocat de l’assuré pour alléguer une capacité de travail résiduelle de 30 % n’étaient pas convaincants et que l’abattement de 5 % pris en compte pour la fixation du revenu avec invalidité se justifiait par le fait que l’assuré restait en mesure de manipuler des charges de plus de cinq kilos, mais qu’il était toutefois restreint dans certaines positions de travail ainsi que dans sa liberté de mouvement ; un tel abattement se situait entre une personne cantonnée à des activités légères ou en position alternée (0 % d’abattement) et une personne ayant des limitations posturales même dans des activités uniquement légères (10 %), avec la précision également, que pour les activités du niveau de compétence 1, un facteur de réduction pour motifs personnels n’était pas justifié. La CNA a par contre retenu un revenu de valide de 71'552 fr., calculé sur la base du salaire mensuel d’un employé de la catégorie A versé treize fois par an selon la Convention collective de travail (CCT) des industries vaudoises de la construction pour 2019 (soit, 5'504 fr. x 13), avec la précision que l’assuré avait bénéficié d’un revenu d’employé de catégorie A et non B. Comparé au gain d’invalide (64'355 fr. 80), il en résultait une diminution de 10 % ouvrant le droit à une rente d’invalidité de ce taux depuis le 1 er avril 2019. La CNA a fixé le gain annuel assuré à un montant de 75'820 fr. 40 et porté le montant de l’indemnité en capital à 88'457 fr. 55 pour les troubles psychogènes ; elle a retenu qu’à l’issue de son entretien avec l’assuré, le Dr H.________ avait estimé la répercussion du diagnostic d’épisode dépressif léger à 20 % sur la capacité de travail mais précisait toutefois que cette réduction ne pouvait pas être considérée comme définitive et pourrait disparaître si la situation administrative, juridique et financière de l’assuré s’améliorait ou offrait des perspectives encourageantes. Un document annexé à la décision sur opposition faisait état d’un montant global sur trente-six mois, soit du 1 er avril 2019 au 31 mars 2022, versé en quatre tranches correspondant à une incapacité de gain de 90 % les douze premiers mois (100 % - 10 % troubles somatiques), puis de 50 %, 25 % et 10 % par tranches de huit mois. La décision du 9 avril 2019 de la CNA a été confirmée pour le surplus. B. Par acte du 28 avril 2020, D.________, représenté par Me David Métille, a recouru contre la décision sur opposition précitée devant la Cour des assurances sociales du Tribunal cantonal, concluant, avec dépens, à son annulation et à l’octroi d’une rente d’invalidité de 75 % avec effet au 1 er avril 2019, ainsi qu’à l’octroi d’une indemnité pour atteinte à l’intégrité globale d’un taux de 65 %, sous déduction des prestations allouées au titre d’indemnité en capital. Subsidiairement, il a conclu à l’annulation de la décision attaquée ainsi qu’à la mise en œuvre d’une expertise médicale « destinée à établir l’ensemble des diagnostics consécutifs à l’accident du 21 octobre 2015 et leur répercussion sur le taux de capacité de travail du recourant dans une activité adaptée, ainsi que l’appréciation du taux d’atteinte à l’intégrité corporelle, sur un plan somatique et psychiatrique ». En substance, l’assuré conteste l’évaluation médicale et économique conduite par la CNA. En lien avec le taux de la rente d’invalidité de l’assurance-accidents, il conteste le bien-fondé du calcul du revenu d’invalide effectué par la CNA sur la base d’une pleine capacité de travail dans une activité adaptée et la prise en compte d’un taux d’abattement de 5 %. Il estime pour sa part présenter une capacité de travail de 30 % dans une activité adaptée compte tenu d’un taux de capacité de travail résiduelle de 50 % retenu sur le plan somatique par le Dr I.________ et d’une baisse de rendement de 20 % pour les séquelles au plan psychiatrique admise par le Dr H.________. Quant au taux d’abattement il est d’avis qu’il devrait être d’au moins 10 % sur le salaire issu de l’Enquête suisse sur la structure des salaires (ESS) au regard de ses « importantes » séquelles, taux qu’il estime être « tout à fait approprié » compte tenu de l’octroi d’une indemnité pour atteinte à l’intégrité de 19 %. Suivant ses calculs, la comparaison de son revenu d’invalide de 18'290 fr. 60 avec celui sans l’accident de 71'552 fr., lui ouvrirait le droit à une rente d’invalidité LAA de 74,44 %, arrondie à 75 %. Dans un second temps, le recourant remet en cause le taux de l’indemnité pour atteinte à l’intégrité fixé à 19 % par le Dr C.________ ; de l’avis du recourant, ce taux sous-estimerait les taux de déficits fonctionnels permanents évalués au total à 41 % par le Dr I.________ (à savoir, SPE gauche [20 %], SPE droit [5 %], douleurs sacro iliaques bilatérales [8 %] ainsi qu’éventration [douleurs, troubles du transit ; 8 %]) et, d’autre part, sans tenir compte des atteintes psychiques estimées à « au moins 30 % » par le Dr A.________, étant précisé que la CNA n’a pas démontré la caractère transitoire des troubles psychiques de caractère léger à modéré. Dans ces conditions, le recourant allègue qu’en ajoutant un taux complémentaire de 46 % à l’appréciation du médecin d’arrondissement, il aurait droit à une indemnité pour atteinte à l’intégrité globale d’un taux de 65 % tenant compte aussi bien des séquelles à caractère physique que psychique. A titre de mesures d’instruction, il a requis la production par la CNA de son dossier complet ainsi, qu’à titre subsidiaire, la mise en œuvre d’une expertise médicale pluridisciplinaire (orthopédique, médecine digestive ou interne et psychiatrique) judiciaire. Dans sa réponse du 1 er juillet 2020, la CNA a conclu au rejet du recours et à la confirmation de la décision querellée, sans que d’éventuelles mesures d’instruction ne s’avèrent nécessaires. Elle a produit son dossier complet. Le 15 juillet 2020, en réplique, le recourant a confirmé ses précédentes conclusions. En lien avec le droit à la rente d’invalidité de l’assurance-accidents, il fait valoir la persistance de douleurs séquellaires abdominales post cure d’éventration en octobre 2018, en opposition à la capacité de travail entière retenue par les médecins d’arrondissement de la CNA. Sur le plan psychiatrique, il maintient que les avis des Drs V.________ et A.________ doivent l’emporter sur ceux des médecins de l’intimée, avec la précision qu’une baisse de rendement définitive avait été constatée par le Dr H.________. S’agissant du taux d’abattement de 10 % dont il demande la prise en compte sur les salaires statistiques pour la fixation du revenu d’invalide, le recourant le motive par son état de santé défaillant, son statut de frontalier (permis G) et l’exercice d’une activité de durée limitée en Suisse auprès de T.________ SA. Enfin, il répète présenter une atteinte à l’intégrité en raison de ses symptômes psychiques (30 %) et somatiques (41 %) donnant droit à une indemnité globale pour atteinte à l’intégrité de 65 %. Dans sa duplique du 19 août 2020, la CNA a intégralement maintenu les conclusions de son mémoire-réponse du 1 er juillet 2020. C. Par décision du 30 avril 2020, D.________ a été mis au bénéfice de l’assistance judiciaire avec effet au 24 mars 2020. Il était exonéré du paiement des frais judiciaires ainsi que de toute franchise mensuelle. Un avocat d’office en la personne de Me David Métille lui a été désigné. Le 1 er septembre 2021, Me Métille a déposé la liste de ses opérations effectuées au titre de l’assistance judiciaire. D. Par décision du 26 février 2018, l’Office de l’assurance-invalidité pour le canton de Vaud (ci-après : l’OAI) a rejeté la demande de prestations du 29 janvier 2016 de l’assuré en lien avec les suites de l’accident d’octobre 2015 ; cet office a refusé le droit à la rente au motif, que le degré d’invalidité était, après comparaison des revenus, de 12,93 %. Pour ses calculs, l’OAI a procédé à une réduction de 10 % sur le revenu d’invalide.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Respectant par ailleurs les autres conditions formelles prévues par la loi (art. 61 let. b LPGA notamment), le recours est recevable. 2. a) Le litige porte sur le taux de la rente d’invalidité de l’assurance-accidents, singulièrement sur la capacité de travail du recourant et l’abattement à opérer dans le cadre de la fixation du revenu d’invalide, ainsi que sur le taux de l’indemnité pour atteinte à l’intégrité. La reconnaissance de l’état de santé stabilisé au 31 mars 2019 n’est pas litigieuse, tout comme le montant du gain annuel assuré.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w:t>
      </w:r>
    </w:p>
    <w:p>
      <w:r>
        <w:rPr>
          <w:b/>
        </w:rPr>
        <w:t>E. 16</w:t>
      </w:r>
    </w:p>
    <w:p>
      <w:r>
        <w:t>LPGA). cc)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e)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En ce qui concerne le droit à la rente, dans un premier moyen, le recourant remet en cause l’évaluation de la capacité de travail dans une activité adaptée. Opposant le point de vue de ses médecins à celui des médecins d’arrondissement de la CNA, il estime présenter une capacité de travail de 30 % dans une activité adaptée compte tenu d’un taux de capacité de travail résiduelle de 50 % retenu sur le plan somatique et d’une baisse de rendement de 20 % pour les séquelles psychiques. b) aa) Sur le plan somatique, l’assuré a été examiné le 4 décembre 2017 par le Dr C.________. Sur la base des pièces au dossier, des déclarations de l’assuré ainsi que de l’examen clinique, le médecin d’arrondissement a posé les diagnostics de status après polytraumatisme du 21 octobre 2015, status après fracture type open book du bassin avec atteinte de la sacro-iliaque droite, traitée par un fixateur externe, status après fracture des arcs costaux 7,8 et 9 à gauche, status après fracture des apophyses transverses gauches de L1 et L2, status après rupture traumatique de la paroi postérieure de la vessie, status après thrombose veineuse profonde à droite, status après sinusite maxillaire bilatérale, status après résection segmentaire du grêle et multiples laparotomies et neuropathie sensitivomotrice du sciatique poplité externe (SPE) à gauche. Il a conclu à un état stabilisé, avec persistance d’une atteinte du sciatique poplité externe gauche ainsi que des douleurs aux sacro-iliaques surtout à gauche. L’assuré était considéré comme apte à travailler à 100 %, sans diminution de rendement, dans une activité adaptée aux limitations fonctionnelles (activité sédentaire ou semi-sédentaire avec alternance des positions assise et debout, éviter les travaux penché en avant, la marche en terrain irrégulier avec cependant de courts déplacements à plat possibles ainsi que le soulèvement ou le port de charges supérieures à vingt kilos). Le 4 février 2019, le Dr R.________ a confirmé la stabilisation du cas et les conclusions du rapport d’examen du 7 décembre 2017 du Dr C.________. De son côté, le recourant soutient présenter, sur le plan somatique, une capacité résiduelle de travail de 50 % sur la base du rapport d’expertise orthopédique du 9 juillet 2019 du Dr I.________. En premier lieu il convient de constater que sous la rubrique « taux de capacité de travail » de son rapport, ce médecin, exerçant en France, écrit « elle est de 50% en fonction de l’IPP [incapacité permanente partielle] ». Cette appréciation de la capacité de travail n’est pas pertinente dès lors qu’elle repose sur une législation, respectivement des barèmes, distincts de la législation suisse. S’agissant de la limitation fonctionnelle retenue par le Dr I.________ en lien avec les déplacements sur une courte période de dix à quinze minutes, le Dr C.________ en a tenu compte en décembre 2017, sur la base des déclarations de l’assuré qui annonçait sur le plan ostéo-musculaire, quelques douleurs en regard des sacro-iliaques, surtout à gauche, augmentant à la marche à plat de quinze à vingt minutes ; le médecin d’arrondissement a ainsi retenu de courts déplacements à plat à titre de limitation fonctionnelle (rapport d’examen du 7 décembre 2017 pp. 5 et 8). L’allégation du recourant selon laquelle « les séquelles abdominales sont totalement incompatibles avec le port de charges » n’est pas pertinente. En effet, le 22 mai 2017, le Dr L.________ a indiqué que l’assuré notait une nette amélioration de la musculature abdominale et qu’il n’était pas vraiment gêné par son éventration. Après la cure d’éventration médiane sur cicatrice xipho-pubienne par laparotomie avec plaque le 2 octobre 2018, les suites ont été simples, avec une bonne cicatrisation et la reprise d’activité légère. Après sa prise de connaissance des pièces médicales versées au dossier depuis l’intervention chirurgicale précitée, le Dr R.________ a confirmé les limitations fonctionnelles retenues lors de l’examen clinique du 4 décembre 2017 par le Dr C.________. Par ailleurs, il est à noter que le rapport du 9 décembre 2016 de la CRR, qui figurait au dossier remis en mains du médecin d’arrondissement pour son examen final en décembre 2017, mentionnait des limitations fonctionnelles provisoires en lien avec le port de charges lourdes, de sorte que le Dr C.________ en avait connaissance et qu’il en a tenu compte au moment de son examen clinique de l’assuré. Dans sa réplique du 15 juillet 2020, le recourant soutient que l’addition de la limitation fonctionnelle établie par le Dr I.________, selon laquelle les séquelles abdominales sont totalement incompatibles avec le port de charges, avec ses autres restrictions, justifie de retenir une capacité de travail résiduelle de 50 %. Or, il est rappelé que l’intervention chirurgicale du 2 octobre 2018 a consisté en une correction chirurgicale de l’atteinte abdominale présentée lors de l’accident du 21 octobre 2015 qui a stabilisé le problème et que les suites ont été simples, avec reprise d’activité légère, et qui ne donnait en outre pas lieu à une augmentation de l’estimation de l’atteinte à l’intégrité (rapports des 5 octobre et 5 novembre 2018 des médecins du Service de chirurgie générale et thoracique du CHU de [...] ; appréciation médicale du 28 février 2020 du Dr R.________). Le 10 décembre 2018, la Dre Q.________ rapporte « des douleurs séquellaires abdominales post cure d’éventration (prothèse 20*30) en octobre 2018 » mais ne retient toutefois aucune limitation fonctionnelle corrélative, alors qu’elle en retient pour les membres inférieurs (« neuropathie des membres inférieurs avec difficultés à la marche, sensation de brûlures des membres, limitation du périmètre de marche »). Le recourant ne saurait dès lors se prévaloir de l’intervention d’octobre 2018 pour remettre en cause l’aptitude reconnue à exercer une activité adaptée à 100 %. Aucun indice concret ne permet de douter du bien-fondé des appréciations émises par les médecins d’arrondissement qui doivent se voir accorder une pleine valeur probante (cf. consid. 3c et 3d supra). Le rapport d’examen du 7 décembre 2017 du Dr C.________, dont les constatations et conclusions sont confirmées par le Dr R.________, est en effet le résultat d’une analyse fouillée du cas, en ce qu’il repose sur un examen clinique effectué dans les règles de l’art, qu’il prend également en considération les plaintes exprimées par la personne examinée, et qu’il a été établi en pleine connaissance du dossier de celle-ci. Il contient une appréciation claire de la situation par un spécialiste et aboutit à des conclusions médicales dûment motivées et exemptes de contradictions. bb) Sous l’angle psychique, lors du séjour de l’assuré à la CRR en 2016, il n’ a pas été posé de diagnostic mais uniquement rapporté des symptômes (cauchemars caractéristiques des réveils pendant les phases de sommeil paradoxal avec oppression thoracique, angoisse, impossibilité de pouvoir se mouvoir avec parfois hallucinations visuelles et auditives). A cette occasion, il a également été relevé que durant le séjour, suivi par le psychologue clinique, l’assuré avait « pu verbaliser ses difficultés depuis son accident, avec notamment le choc que cela a[vait] engendré pour ses proches. Le fait d’avoir été dégagé de toute responsabilité et d’être reconnu comme victime a[vait] vraiment aidé le patient à pouvoir digérer ce traumatisme et à s’engager dans la réadaptation. Son sommeil s’[était] amélioré, et même si le patient ressent[ait] un grand besoin de pouvoir verbaliser ce qu’il vi[vait], il [pouvait] se projeter vers une reprise avec bonne amélioration de son état psychologique ». Dans le cadre de son examen psychiatrique du 22 mai 2018, le Dr H.________ diagnostique un épisode dépressif léger (F32), considérant qu’il regroupe le mieux les quelques symptômes psychiques retrouvés soit la difficulté subjective de concentration, la tendance à s’irriter, à ruminer, à se sentir l’objet d’injustice. Les symptômes de type post-traumatique ont nettement diminué depuis le consilium psychiatrique à la CRR en automne 2016 ; l’assuré n’était pas angoissé et ne présentait pas de réaction physiologique en parlant de l’accident, et depuis l’été 2017, il est suivi par le Dr V.________, psychiatre. Le Dr H.________ conclut à une capacité de travail de 80 % « du point de vue horaire à rendement complet », avec la précision que cette réduction de la capacité de travail de l’assuré n’est pas définitive et susceptible de disparaître en cas d’amélioration de la situation administrative, juridique et financière de celui-ci ou au moins permettre des perspectives plus encourageantes. Aux termes de son rapport du 10 janvier 2018, le psychiatre traitant constate pour sa part que l’assuré présente une névrose post-traumatique importante avec de notables répercussions dans sa vie quotidienne même hors situation de stress altérant en particulier ses relations inter-personnelles, avec la précision que le « handicap est important et permanent ». De l’avis du Dr V.________, l’incapacité de travail est totale. Or, outre le fait que, de par son rôle de médecin traitant, généralement enclin à prendre partie pour son patient en raison de la relation de confiance qui l’unit à ce dernier (ATF 125 V 351 consid. 3b/cc), l’avis du Dr V.________ est sujet à réserves. Il est au demeurant dépourvu de toute motivation dûment étayée sur la base d’éléments médicaux objectifs, et n’est donc pas en mesure de faire douter du bien-fondé de l’appréciation probante du médecin d’arrondissement. Quant à l’avis des 21 août et 1 er octobre 2019 du Dr A.________, expert judiciaire en France, il conclut que si les séquelles psychologiques de l’accident d’octobre 2015 n’entrainent pas à elles seules une incapacité de travail, elles entament très certainement les capacités de l’assuré à reprendre son travail de conducteur d’engin, d’autant plus au vu de l’association des séquelles psychologiques aux séquelles physiques décrites par ailleurs. La capacité de l’assuré à occuper un « travail quelconque » est de 80 %. En écrivant que « l’indemnisation des séquelles à l’accident pallie aux conséquences d’un sinistre, apportent une part de reconnaissance de la victime mais ne sont en aucun cas un acte thérapeutique en matière psychopahologique », ce médecin conteste principalement le principe même de l’indemnité en capital prévu dans la loi sur l’assurance-accidents plutôt que son application au cas d’espèce, soit le taux retenu. Or, l’indemnité en capital, couvrant la période du 1 er avril 2019 au 31 mars 2022, allouée à l’assuré a été portée à 88'457 fr. 55 à l’issue de la procédure d’opposition et d’autre part, l’institution de l’indemnité en capital prévue à l’art. 23 LAA, soit du droit suisse, ne saurait être interprétée de manière identique en droit français ; dans le système français, après un accident du travail, si les séquelles le justifient, un taux d'incapacité permanente peut être attribué et ensuite une indemnité en capital versée. Pour ces motifs, le point de vue du Dr A.________ ne s’avère pas convaincant. Partant, il est insuffisant pour remettre en question le rapport d’examen psychiatrique du 6 juin 2018 du Dr H.________, respectivement le bien-fondé du versement d’une indemnité en capital. Les troubles psychiques ayant déjà été indemnisés, ils ne sauraient être pris en compte dans le cadre de l’évaluation du taux de la rente d’invalidité et de l’indemnité pour atteinte à l’intégrité, comme l’a à juste titre rappelé la CNA dans sa réponse du 1 er juillet 2020. Par ailleurs, ce médecin reconnait une capacité de travail de 80 % à l’assuré. cc) Sur le plan médical, malgré la persistance de séquelles accidentelles sous la forme d’une atteinte du sciatique poplité externe (SPE) à gauche ainsi que des douleurs aux sacro-iliaques, la CNA retient à juste titre que l’assuré reste en mesure d’exercer une activité professionnelle dans différents secteurs de l’économie, à la condition qu’il puisse exercer une activité sédentaire ou semi-sédentaire, dans laquelle il est possible d’alterner la position assise ou debout à sa guise, évitant les travaux penché en avant, ainsi que la marche en terrain irrégulier, avec de courts déplacements à plat possibles, sans port de charges supérieurs à vingt kilos. c) Le dossier est complet, permettant ainsi à la Cour de statuer en connaissance de cause. Un complément d’instruction apparaît inutile et la requête formulée en ce sens par le recourant dans ses écritures – à savoir, la réalisation d'une expertise médicale judiciaire pluridisciplinaire (portant sur les volets orthopédiques, médecine digestive ou interne et psychiatrique)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et 130 Il 425 consid. 2.1). d) aa) Dans le cadre de l’examen du droit à une rente d’invalidité de l’assurance-accidents, s’agissant du revenu d’invalide retenu pour la comparaison des revenus (au sens de l’art. 16 LPGA), le recourant sollicite la prise en compte d’un taux d’abattement supérieur à celui de 5 % retenu par l’intimée. Il fait valoir que l’octroi d’une indemnité pour atteinte à l’intégrité de 19 %, les limitations fonctionnelles, le statut de frontalier (permis G) et l’exercice d’une activité de durée limitée en Suisse devraient conduire à la déduction d’un abattement de 10 %. bb)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 TF 8C_227/2017 du 17 mai 2018 consid. 3.1 ; TF 8C_883/2015 du 21 octobre 2016 consid. 6.2.1). cc) Le recourant ne peut être suivi lorsqu’il affirme qu’un taux d’abattement de 5 % « ne vaut que dans le cas d’assuré/es qui ont assumé un poste à responsabilité, en particulier comme gérant d’entreprise » alors qu’un taux de 10 % est « la norme dans les cas des assurés présentant des taux d’IPAI se situant entre 10 à 25 % et qui sont en mesure d’assumer une activité à 100 % dans un emploi adapté ». En faisant dépendre le taux d’abattement de celui de l’indemnité pour atteinte à l’intégrité de 19 % ainsi que du poste de travail précédemment assumé, le recourant perd manifestement de vue qu’il ne s’agit pas de critères susceptibles d’influencer le revenu d'une activité lucrative tels qu’énumérés de manière exhaustive par la jurisprudence (ATF 126 V 75 précité consid. 5b/bb). En l’occurrence, au vu des limitations fonctionnelles, il est exigible de la part du recourant qu’il exerce une activité sédentaire ou semi-sédentaire dans laquelle il puisse alterner à sa guise la position debout avec la position assise. Il doit éviter les travaux penchés en avant. Il doit éviter de marcher en terrain irrégulier. De courts déplacements à plat sont possibles. Enfin, il doit éviter de soulever ou de porter des charges supérieures à vingt kilos (pièce 286). Si l’assuré présente une liberté de mouvement restreinte en termes de périmètre de marche ainsi que dans certaines positions de travail, son état n'entrave toutefois pas le port de charges jusqu’à vingt kilos et les limitations fonctionnelles n’imposent en définitive pas une activité sédentaire ou semi-sédentaire légère théorique stricte. Il est adéquat de retenir un abattement de 5 % dans cette circonstance, dès lors qu’il tient suffisamment et correctement compte de l’impact global des atteintes à la santé. A titre comparatif, la Haute Cour a estimé qu’un abattement de 5 % se justifiait dans le cas des limitations fonctionnelles d’un assuré présentant de sévères lésions subies au genou, et qui ne pouvait travailler que dans des activités légères, plutôt sédentaires et autorisant les positions alternées (TF 8C _910/2010 du 8 septembre 2011 consid. 6.3). Un abattement identique a été confirmé dans la situation d’un danseur professionnel présentant une rupture partielle de deux tendons rotuliens, ne pouvant plus courir, ni rester longtemps assis les genoux fléchis et ayant de la difficulté à monter les escaliers et à se lever d’une chaise (TF 8C_762/2010 du 8 avril 2011 consid. 2.3). Au vu du profil d’exigibilité défini par le Dr C.________, le revenu d’invalide a été calculé sur la base des salaires figurant dans l’enquête suisse de la structure des salaires ([ESS] ; hommes, année 2016, niveau de compétence 1). Or le niveau de compétences 1 s’applique en principe à tous les assurés qui ne peuvent plus accomplir leur ancienne activité, parce qu’elle est physiquement trop astreignante, mais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si ce n’est une mise au courant initiale et compatibles avec des limitations fonctionnelles peu contraignantes ( David Ionta , Fixation du revenu d’invalide selon l’ESS, in : Jusletter 22 octobre 2018, Rz 91 et les références). Le moyen invoqué en lien avec le statut de frontalier (permis G) est mal fondé. En vertu des dispositions de l'Annexe I à l'Accord du 21 juin 1999 entre la Confédération suisse, d'une part, et la Communauté européenne et ses Etats membres, d'autre part, sur la libre circulation des personnes (Accord sur la libre circulation des personnes, ALCP; RS 0.142.112.681), un ressortissant français a le droit d'exercer une activité économique en Suisse (art. 2 par. 1 annexe I ALCP) et ne peut être, en raison de sa nationalité, traité différemment des travailleurs suisses, notamment en matière de rémunération (art. 9 par. 1 annexe I ALCP). D’autre part, la Haute Cour a rappelé qu’un assuré ne saurait subir d'emblée un désavantage par rapport à un travailleur suisse du fait de sa nationalité française et de sa qualité de frontalier domicilié en France de sorte qu’une déduction sur le salaire statistique n'apparaît dès lors pas justifiée (TF 8C_610/2017 du 3 avril 2018 consid. 4.4). Au demeurant le recourant n'allègue pas avoir été pénalisé par rapport à ses collègues de nationalité suisse lorsqu'il travaillait dans le cadre du contrat de mission pour T.________ SA. Pour le reste, l’allégation d’un « emploi en Suisse durant une période très limitée dans le temps » comme celle du retour en France faute d’avoir pu retrouver un emploi adapté en Suisse ne sont d’aucun secours au recourant. En effet, il ressort du dossier que ce dernier est arrivé en Suisse en 2015, un peu moins de trois mois avant l’accident, et qu’il a travaillé depuis ses dix-neuf ans ([...]) jusqu’à l’accident, à trente-huit ans, en conduisant des machines lourdes sur des chantiers et qu’il s’agissait la plupart du temps de missions de placement relativement courtes (rapport d’examen du 6 juin 2018 du Dr H.________ p. 6 ; rapport d’examen du 7 décembre 2017 du Dr C.________ p. 1 ; rapport du 23 août 2019 du Dr A.________ p. 8). D’autre part, selon une notice d’un entretien du 4 décembre 2017 avec le gestionnaire en charge du cas auprès de la CNA, l’assuré a déclaré ne pas savoir encore s’il allait se rapprocher de la Suisse pour obtenir plus de possibilités d’emploi ; il avait précisé s’intéresser au domaine de la prévention et de la sécurité dans lequel il allait entreprendre des recherches. Enfin, il convient d’ajouter que le taux d’abattement de 10 % sur le revenu d’invalide tel que retenu par l’OAI dans le cadre de sa décision de refus de prestations de l’assurance-invalidité du 26 février 2018 n’est pas déterminant pour l’issue du présent litige. En effet,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En l’espèce, l’intimée était en droit de procéder à sa propre évaluation de la rente d'invalidité du recourant en faisant abstraction de la prise en compte d’un taux d’abattement de 10 %, un tel élément ressortant d’une décision rendue par les organes de l’assurance-invalidité qui n’a pas de force contraignante pour l’assurance-accidents. dd) Ainsi, un taux d’abattement de 5 % s’avère approprié pour fonder le revenu avec invalidité du recourant au vu de son état de santé défaillant. e) Compte tenu du taux d’abattement, le revenu d’invalide de 64'355 fr. 85 doit être confirmé. Après comparaison avec le revenu hypothétique sans invalidité (71'552 fr.), il en résulte un préjudice financier de 7'196 fr. 15 (71'552 fr. – 64'355 fr. 85) qui correspond à une perte de gain de 10,05 % ([7'196 fr. 15 / 71'552 fr.] x 100), arrondie à 10 % (ATF 130 V 121) comme l’a retenu la CNA. 5. a) Le recourant reproche également à l’intimée une estimation incorrecte de l’indemnité pour atteinte à l’intégrité à laquelle il a droit. Il revendique une indemnité de 65 % en raison des séquelles physiques et psychiques de l’accident au lieu des 19 % retenus pour les conséquences des troubles somatiques.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c) Il convient de relever d’emblée que, conformément à l’art. 23 al. 1 LAA, la CNA a octroyé une indemnité en capital à l’assuré pour ses troubles psychogènes. Cette indemnisation exclut dès lors le droit à une indemnité pour atteinte à l’intégrité en faveur de l’assuré s’agissant des séquelles psychiques de l’accident. Cela étant précisé, dans son estimation de l’atteinte à l’intégrité du 7 décembre 2017, le Dr C.________ a constaté, sur le plan somatique, que le recourant gardait, comme séquelles de l’accident du 21 octobre 2015, une atteinte du nerf sciatique poplité externe à gauche avec un steppage persistant ainsi que des douleurs aux sacro-iliaques. Il a indiqué qu’une paralysie du nerf sciatique poplité externe correspond à un taux d’IPAI de 10 % d’après la table 2 d’indemnisation des atteintes à l’intégrité selon la LAA (Atteinte à l’intégrité résultant de troubles fonctionnels des membres inférieurs) éditée par la CNA. Il a indiqué d’autre part qu’en cas de douleurs des articulations sacro-iliaques (++), la table 7 d’indemnisation des atteintes à l’intégrité selon la LAA (Atteinte à l’intégrité dans les affections de la colonne vertébrale) éditée par la CNA prévoit un taux d’IPAI de 5 à 10 %, et que, dans le cas d’espèce, une indemnisation de 10 % paraissait justifiée. Procédant à une pondération, ce médecin proposait de fixer à 19 % le taux de l’atteinte globale à l’intégrité corporelle. Le 28 février 2020, le Dr R.________ a estimé que la cure d’éventration, intervention chirurgicale du 2 octobre 2018 qui avait stabilisé le problème, ne donnait pas lieu à une augmentation de l’estimation de l’atteinte à l’intégrité, selon la table 9 d’indemnisation des atteintes à l’intégrité selon la LAA (Atteinte à l’intégrité en cas de lésions d’organes internes par accident ou maladie professionnelle [à l’exception des lésions pulmonaires, voir table 10] et en cas de transplantations d’organes solides) éditée par la CNA, item 3. Le recourant remet en question le taux de l’indemnité pour atteinte à l’intégrité fixé à 19 % par le médecin d’arrondissement, au motif que ce taux sous-estimerait les taux de déficits fonctionnels permanents évalués au total à 41 % par le Dr I.________ (à savoir, SPE gauche [20 %], SPE droit [5 %], douleurs sacro iliaques bilatérales [8 %] ainsi qu’éventration [douleurs, troubles du transit ; 8 %]). L’évaluation est effectuée par un expert français dont les compétences sont douteuses pour estimer le droit à une indemnité pour atteinte à l’intégrité en vertu du système suisse. Cette estimation n’est de toute façon pas convaincante. En effet, le Dr I.________ n’avance aucune explication, ni référence quant aux valeurs qui le conduisent à estimer le déficit fonctionnel permanent au total à 41 %. En dernière page de son rapport, il revient d’ailleurs sur son évaluation, aux motifs que, selon la table qui lui a été remise par l’avocat du recourant, la paralysie du SPE est de 10 % à gauche (et non 20 %) et que, selon l’estimation du Dr C.________, l’atteinte sacro-iliaque est de 10 % (et non 8 %). Le Dr I.________ ajoute encore mais sans aucune motivation, ni autre référence, que « la sciatalgie gauche permanente doit être évaluée à 10% ». Les considérations du Dr I.________ ne permettent pas de rediscuter les appréciations motivées et convaincantes des médecins d’arrondissement de la CNA, de sorte qu’il n’y a pas lieu de s’écarter de l’estimation faite dans le cas d’espèce de l’indemnité pour atteinte à l’intégrité de 19 % qui tient correctement en compte les troubles somatiques séquellaires de l’accident. De plus, cette estimation n’exclut pas une indemnité complémentaire à celle allouée si, à l’avenir, les atteintes du membre inférieur gauche et de la colonne vertébrale venaient à s’aggraver de façon importante et durable (aux termes de l’art. 36 al. 4 OLAA « il sera équitablement tenu compte des aggravations prévisibles de l’atteinte à l’intégrité. Une révision n’est possible qu’en cas exceptionnel, si l’aggravation est importante et n’était pas prévisible »). 6. Sur le vu de tout ce qui précède, outre l’indemnité en capital de 88'457 fr. 55, la CNA était légitimée à octroyer à une rente d’invalidité de l’assurance-accidents de 10 % depuis le 1 er avril 2019 ainsi qu’une indemnité pour atteinte à l’intégrité de 19 %. 7. a) Mal fondé, le recours doit par conséquent être rejeté et la décision sur opposition litigieuse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c) Le recourant est au bénéfice de l’assistance judiciaire. Me Métille peut prétendre une équitable indemnité pour son mandat d’office. Après examen de la liste des opérations déposée le 1 er septembre 2021, compte tenu de l’importance et de la complexité du litige, il convient d’arrêter l’indemnité à 3’859 fr. (correspondant à neuf heures et vingt minutes de travail d’avocat au tarif horaire de 180 fr. et à quinze heures et quarante-cinq minutes de travail d’avocat-stagiaire au tarif horaire de 110 fr.), débours (5 %) et TVA (7,7 %) compris (art. 2, 3 al. 1 et 3bis RAJ [règlement cantonal du 7 décembre 2010 sur l’assistance judiciaire en matière civile ; BLV 211.02.3]). La liste des opérations produite par Me Métille ne peut en effet pas être intégralement suivie. L’activité déployée dépasse ce qu’admet la pratique de la Cour dans l’estimation du temps objectivement requis pour le traitement de cas de ce genre eu égard à l’importance et à la complexité du litige. En particulier, la liste fait mention des opérations suivantes : « 01.09.2021 Lettre explicative à la CASSO », « 01.09.2021 Email à client », « 15.01.2022 Lettre à la Suva ad paiement dépens (à prévoir) », « 15.01.2022 Email à client (à prévoir) », et « 10.02.2022 Email/lettre finale à client après entrée en force du jugement (à prévoir) », lesquelles correspondent au total à une heure et quinze minutes de travail d’avocat, et sont des démarches qui n’ont pas à être prises en charge dans le cadre de la présente procédure. d)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