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678 vom 30. Juni 2021</w:t>
      </w:r>
    </w:p>
    <w:p>
      <w:r>
        <w:t>VD Tribunal cantonal, 2021-06-30, FR</w:t>
      </w:r>
    </w:p>
    <w:p>
      <w:r>
        <w:rPr>
          <w:b/>
        </w:rPr>
        <w:t xml:space="preserve">Quelle: </w:t>
      </w:r>
      <w:r>
        <w:t>https://mcp.opencaselaw.ch/entscheid/vd_findinfo_Arr_t___2021___678</w:t>
      </w:r>
    </w:p>
    <w:p>
      <w:r>
        <w:t>FR: VD_FINDINFO Arrêt / 2021 / 678 du 30 juin 2021</w:t>
      </w:r>
    </w:p>
    <w:p>
      <w:r>
        <w:t>IT: VD_FINDINFO Arrêt / 2021 / 678 del 30 giugno 2021</w:t>
      </w:r>
    </w:p>
    <w:p>
      <w:pPr>
        <w:pStyle w:val="Heading2"/>
      </w:pPr>
      <w:r>
        <w:t>Regeste</w:t>
      </w:r>
    </w:p>
    <w:p>
      <w:r>
        <w:t>AM, TRAITEMENT À L'ÉTRANGER, CHANGEMENT DE SEXE, OPÉRATION, DEVOIR DE COLLABORER | 24 LAMal, 25 LAMal, 32 al. 1 LAMal, 34 al. 2 LAMal, 36 OAMal</w:t>
      </w:r>
    </w:p>
    <w:p>
      <w:pPr>
        <w:pStyle w:val="Heading2"/>
      </w:pPr>
      <w:r>
        <w:t>Erwägungen</w:t>
      </w:r>
    </w:p>
    <w:p>
      <w:r>
        <w:rPr>
          <w:b/>
        </w:rPr>
        <w:t>E. 6</w:t>
      </w:r>
    </w:p>
    <w:p>
      <w:r>
        <w:t>a) En conclusion, le recours, mal fondé, doit être rejeté et la décision sur opposition confirmée. La Cour de céans ayant pu statuer en l’état du dossier, il n’y a pas lieu de donner suite aux réquisitions de preuves de la recourante (appréciation anticipée des preuves ; ATF 140 I 285 consid. 6.3.1 et les références citées).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