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49 vom 26. Januar 2020</w:t>
      </w:r>
    </w:p>
    <w:p>
      <w:r>
        <w:t>VD Tribunal cantonal, 2020-01-26, FR</w:t>
      </w:r>
    </w:p>
    <w:p>
      <w:r>
        <w:rPr>
          <w:b/>
        </w:rPr>
        <w:t xml:space="preserve">Quelle: </w:t>
      </w:r>
      <w:r>
        <w:t>https://mcp.opencaselaw.ch/entscheid/vd_findinfo_Arr_t___2021___49</w:t>
      </w:r>
    </w:p>
    <w:p>
      <w:r>
        <w:t>FR: VD_FINDINFO Arrêt / 2021 / 49 du 26 janvier 2020</w:t>
      </w:r>
    </w:p>
    <w:p>
      <w:r>
        <w:t>IT: VD_FINDINFO Arrêt / 2021 / 49 del 26 gennaio 2020</w:t>
      </w:r>
    </w:p>
    <w:p>
      <w:pPr>
        <w:pStyle w:val="Heading2"/>
      </w:pPr>
      <w:r>
        <w:t>Regeste</w:t>
      </w:r>
    </w:p>
    <w:p>
      <w:r>
        <w:t>CURATELLE DE GESTION{ANCIEN ART. 393 CC}, CURATELLE DE REPRÉSENTATION AYANT POUR OBJET LA GESTION DU PATRIMOINE, CURATEUR, DILIGENCE | 423 CC, 450 CC</w:t>
      </w:r>
    </w:p>
    <w:p>
      <w:pPr>
        <w:pStyle w:val="Heading2"/>
      </w:pPr>
      <w:r>
        <w:t>Erwägungen</w:t>
      </w:r>
    </w:p>
    <w:p>
      <w:r>
        <w:rPr>
          <w:b/>
        </w:rPr>
        <w:t>E. 1.1</w:t>
      </w:r>
    </w:p>
    <w:p>
      <w:r>
        <w:t>Le recours est dirigé contre une décision de la justice de paix relevant un curateur de ses fonctions et en désignant un autre.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w:t>
      </w:r>
    </w:p>
    <w:p>
      <w:r>
        <w:rPr>
          <w:b/>
        </w:rPr>
        <w:t>E. 1.3</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23 janvier 2020 13).</w:t>
      </w:r>
    </w:p>
    <w:p>
      <w:r>
        <w:rPr>
          <w:b/>
        </w:rPr>
        <w:t>E. 1.4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2017 [cité : Guide pratique COPMA 2017], n. 5.77, p. 180). Elle jouit d’un plein pouvoir de cognition pour tous les motifs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1.5</w:t>
      </w:r>
    </w:p>
    <w:p>
      <w:r>
        <w:t>En l'espèce, motivé et interjeté en temps utile par deux frères de la personne concernée, à qui la qualité de proches doit être reconnue, et dont l'un est en outre le curateur relevé de sa mission, le présent recours est recevable. Il en va de même de la pièce nouvelle produite en deuxième instance. Le recours étant manifestement mal fondé, comme on le verra ci-après, il a été renoncé à consulter l’autorité de protection et à fixer un délai de réponse à la personne concernée.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Chambre des curatelles dispose d’un pouvoir d’examen d’office et examine si la décision de première instance répond aux règles formelles imposées par la loi. La procédure devant l'autorité de protection est régie par les art. 443 ss CC. Les personnes concernées doivent être entendues personnellement, à moins que l'audition ne paraisse disproportionnée (art. 447 al. 1 CC).</w:t>
      </w:r>
    </w:p>
    <w:p>
      <w:r>
        <w:rPr>
          <w:b/>
        </w:rPr>
        <w:t>E. 2.3</w:t>
      </w:r>
    </w:p>
    <w:p>
      <w:r>
        <w:t>En l'espèce, la personne concernée et son curateur ont été entendus à une séance de la justice de paix du 15 septembre 2020. La décision entreprise est donc formellement correcte et peut être examinée sur le fond.</w:t>
      </w:r>
    </w:p>
    <w:p>
      <w:r>
        <w:rPr>
          <w:b/>
        </w:rPr>
        <w:t>E. 3.1</w:t>
      </w:r>
    </w:p>
    <w:p>
      <w:r>
        <w:t>Le recourant B.R.________ ne conteste pas avoir commis, en douze ans de curatelle, une unique « erreur de gestion » en faveur de son frère A.R.________, pour « protéger son maigre patrimoine face à une dette liée au non-paiement (…) de l’impôt militaire », mais fait valoir que l’argent a été restitué et un arrangement conclu avec ce créancier, qu’il n’a causé aucun dommage à la personne concernée ou à un créancier, que la santé psychique de A.R.________ s’est améliorée et son addiction à l’alcool est maîtrisée, grâce à son soutien quotidien aux niveaux administratif et personnel, qu’un nouveau curateur imposé de manière abrupte pourrait « générer un facteur possible de rechute, tenant copte que l’accompagnement de notre fratrie est déterminant tant pour le maintien de son équilibre que de sa santé » et que, le cas échéant, leur frère C.R.________, né le 25 novembre 1962 et domicilié à Payerne, serait prêt à assumer cette curatelle.</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op. cit.,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ibid.,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Droit de la protection de l'adulte, Genève/Zurich/Bâle 2016, n. 959, p. 460 ; Droit de la protection de l’adulte, Guide pratique COPMA, Zurich/St-Gall 2012 [cité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 Droit de la protection de l’adulte, op. cit., n. 960, p. 461 et les références citées ; Häfeli, CommFam, op. cit., nn. 4 et 5 ad art. 401 al. 3 CC, p. 520 ; De Luze et crts, Droit de la famille, Lausanne 2013, n. 3.1 ad art. 401 al. 3 CC, p. 686 ; Guide pratique COPMA 2012, n. 6.22, p. 187).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On peut encore relever que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9 avril 2013/86 c. 5b). Selon la doctrine, cette condition pouvait résulter de différentes causes, telles l'incapacité, l'âge ou la maladie, une absence temporaire ou un changement de domicile, une surcharge professionnelle ou familiale (Geiser, Basler Kommentar, 4 e éd. 2010, nn. 13-14 ad art. 445 CC, pp. 2236-2237).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2236 ). L'autorité de protection exerce son pouvoir d'appréciation à la lumière des intérêts de la personne concernée (Meier, Droit de la protection de l’adulte, 2016, n. 1147, p. 557 ; TF 5A_391/2016 du 4 octobre 2016 consid. 5.2.2).</w:t>
      </w:r>
    </w:p>
    <w:p>
      <w:r>
        <w:rPr>
          <w:b/>
        </w:rPr>
        <w:t>E. 3.3</w:t>
      </w:r>
    </w:p>
    <w:p>
      <w:r>
        <w:t>En l'espèce, l’« erreur de gestion » commise par le curateur est susceptible de constituer l’infraction de fraude dans la saisie (art. 163 ch. 2 CP [Code pénal suisse du 21 décembre 1937 ; RS 311.0]). Elle n’a pas été commise par négligence, mais intentionnellement. Elle n’a pas été corrigée spontanément, dans un sursaut de conscience, mais après interpellation par les autorités. Cet acte rend assurément le curateur indigne de la confiance qui lui a été accordée. Par ailleurs, le curateur n’a pas été très rigoureux dans l’inventaire des dettes de A.R.________ et a fait preuve de négligence en laissant les choses suivre leur cours. Les intérêts de la personne concernée sont ainsi manifestement mis en danger par ces comportements du curateur, qui n’a pas les compétences requises par l’art. 400 al. 1 CC et a manqué de diligence dans l’exercice de son mandat (art. 398 CO). C’est donc à juste titre que les premiers juges ont libéré le recourant de sa tâche de curateur. Les recourants proposent de désigner C.R.________ en  qualité de curateur de A.R.________. Faute d’avoir été formulée lors à l’audience du 25 septembre 2020, dont l’objectif était connu, cette proposition ne saurait être examinée à ce stade d’autant qu’on ignore tout de cet énième membre de la fratrie. Enfin la curatelle instituée en faveur de A.R.________ étant une curatelle de représentation et de gestion et non pas une curatelle de portée générale, rien n’empêche B.R.________ et les autres membres de la fratrie de continuer à soutenir personnellement leur frère en cette qualité.</w:t>
      </w:r>
    </w:p>
    <w:p>
      <w:r>
        <w:rPr>
          <w:b/>
        </w:rPr>
        <w:t>E. 4.1</w:t>
      </w:r>
    </w:p>
    <w:p>
      <w:r>
        <w:t>En conclusion, le recours doit être rejeté, aux frais des recourants, solidairement entre eux.</w:t>
      </w:r>
    </w:p>
    <w:p>
      <w:r>
        <w:rPr>
          <w:b/>
        </w:rPr>
        <w:t>E. 4.2</w:t>
      </w:r>
    </w:p>
    <w:p>
      <w:r>
        <w:t>Les frais judiciaires de deuxième instance peuvent être fixés à 300 fr. (art. 74a al. 1 TFJC [tarif du 28 septembre 2020 des frais judiciaires civils ; BLV 270.11.5]) et doivent être mis à la charge des recourants qui succombent (art. 106 al. 1 CPC, applicable par renvoi des art. 450f CC et 12 LVPAE), solidairement entre eux. Par ces motifs, la Chambre des curatelles du Tribunal cantonal, statuant à huis clos, prononce : I. Le recours est rejeté. Il. La décision est confirmée. III. Les frais judiciaires de deuxième instance, arrêtés à 300 fr. (trois cents francs), sont mis à la charge des recourants B.R.________ et C.R.________, solidairement entre eux. IV. L'arrêt est exécutoire. Le président :              La greffière : Du L'arrêt qui précède, dont la rédaction a été approuvée à huis clos, est notifié à : ‑ M. B.R.________, personnellement, ‑ M. C.R.________, personnellement, - M. A.R.________ , personnellement, - M. L.________, personnellement,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