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487 vom 1. Juli 2021</w:t>
      </w:r>
    </w:p>
    <w:p>
      <w:r>
        <w:t>VD Tribunal cantonal, 2021-07-01, FR</w:t>
      </w:r>
    </w:p>
    <w:p>
      <w:r>
        <w:rPr>
          <w:b/>
        </w:rPr>
        <w:t xml:space="preserve">Quelle: </w:t>
      </w:r>
      <w:r>
        <w:t>https://mcp.opencaselaw.ch/entscheid/vd_findinfo_Arr_t___2021___487</w:t>
      </w:r>
    </w:p>
    <w:p>
      <w:r>
        <w:t>FR: VD_FINDINFO Arrêt / 2021 / 487 du 1 juillet 2021</w:t>
      </w:r>
    </w:p>
    <w:p>
      <w:r>
        <w:t>IT: VD_FINDINFO Arrêt / 2021 / 487 del 1 luglio 2021</w:t>
      </w:r>
    </w:p>
    <w:p>
      <w:pPr>
        <w:pStyle w:val="Heading2"/>
      </w:pPr>
      <w:r>
        <w:t>Regeste</w:t>
      </w:r>
    </w:p>
    <w:p>
      <w:r>
        <w:t>RENTE D'INVALIDITÉ, INDEMNITÉ POUR ATTEINTE À L'INTÉGRITÉ, CONDITION DU DROIT À LA PRESTATION D'ASSURANCE, ÉVALUATION DE L'INCAPACITÉ DE TRAVAIL, ÉVALUATION DE L'INVALIDITÉ, LOI FÉDÉRALE SUR L'ASSURANCE-ACCIDENTS | 18 LAA, 19 LAA, 24 LAA, 25 LAA, 6 LAA, 16 LPGA, 7 LPGA, 8 al. 1 LPGA</w:t>
      </w:r>
    </w:p>
    <w:p>
      <w:pPr>
        <w:pStyle w:val="Heading2"/>
      </w:pPr>
      <w:r>
        <w:t>Erwägungen</w:t>
      </w:r>
    </w:p>
    <w:p>
      <w:r>
        <w:rPr>
          <w:b/>
        </w:rPr>
        <w:t>E. 50</w:t>
      </w:r>
    </w:p>
    <w:p>
      <w:r>
        <w:t>%, le Dr S.________ priait la CNA de clore administrativement le dossier. Dans un avis médical du 6 juin 2019, la Dre X.________, après avoir rappelé les conclusions du Dr S.________ dans son rapport du 3 juin 2019, a considéré que celui-ci confirmait les limitations fonctionnelles qu’elle avait retenues le 22 mai 2019. Elle a estimé que l’assuré disposait d’une pleine capacité de travail dans une activité adaptée respectant les limitations fonctionnelles retenues, sans diminution de rendement. Au surplus, elle a considéré qu’un second avis auprès du Dr R.________ n’était plus nécessaire au vu du manque de collaboration de l’assuré et des conclusions du récent rapport du Dr S.________. Par décision du 1 er juillet 2019, la CNA a informé le conseil de l’assuré, Me Hüznü Yilmaz, qu’après un nouvel examen de la situation, sa décision du 14 mai 2019 devait être considérée comme nulle et non avenue. Exposant que, de l’avis de son médecin d’arrondissement, la poursuite du traitement ne saurait apporter une amélioration significative de l’état de santé de l’assuré consécutif à l’accident, elle a indiqué mettre fin au versement des frais médicaux et de l’indemnité journalière avec effet au 3 juin 2019. Elle a précisé qu’elle allait procéder à l’examen du droit éventuel de l’assuré à d’autres prestations d’assurance. Le 8 juillet 2019, la Caisse cantonale de compensation AVS a produit l’extrait du compte individuel AVS de l’assuré, dont il ressort que l’assuré a perçu 42'000 fr. en 2016 et 48'878 fr. en 2017 versés par E.________. A la demande de la Dre X.________, le dossier de l’assuré a été soumis pour avis médical au Prof. M.________, spécialiste en radiologie ostéo-articulaire, diagnostique et interventionnelle auprès de l’Institut de radiologie K.________, afin qu’il se détermine sur la gravité de l’arthrose au poignet gauche (radiographies des 4 juin et 1 er novembre 2018 et CT-Scan du 4 juin 2018). Par rapport du 3 septembre 2019, le Prof. M.________ a retenu l’existence d’une très importante arthrose radio-carpienne, avec perte complète de la surface articulaire proximale du lunatum, due à une irritation par le matériel d’ostéosynthèse, mais surtout de la surface articulaire radiale distale, en particulier au niveau de la fossette lunarienne. L’interligne médio-carpienne était quant à elle bien préservée. Cela étant, le Prof. M.________ a conclu à l’existence d’une grave arthrose radio-carpienne. Dans son appréciation du 9 septembre 2019, se fondant sur son examen clinique du 13 février 2019 ainsi que sur le rapport du Prof. M.________ du 3 septembre 2019,  la Dre X.________ a fixé l’indemnité pour atteinte à l’intégrité (ci-après : IPAI) à 15 % en retenant l’existence d’une grave arthrose radio-carpienne. Se référant à la table 5 des atteintes à l’intégrité résultant d’arthrose éditée par la CNA (réf. 2870/5.f), qui indique que l’arthrose radio-carpienne grave correspond à un taux d’IPAI de 10 à 25 %, le médecin d’arrondissement a indiqué que les séquelles de l’assuré correspondent par analogie à une arthrodèse du poignet gauche, ce qui justifie un taux de 15 %. Une note téléphonique du 30 septembre 2019 indique que la Caisse cantonale de compensation AVS a confirmé à la CNA que l’assuré était salarié de la société E.________ depuis mars 2016, qu’en 2016, il a gagné 42'000 francs et, en 2017, 48'878 francs. Par décision du 14 octobre 2019, la CNA a informé l’assuré que selon ses constatations médicales, il disposait d’une pleine capacité de travail dans une activité n’ayant pas un caractère répétitif pour la main gauche et ne comportant pas de manutention de charges supérieures à 20 kg. Se fondant sur les chiffres ressortant de l’Enquête suisse sur la structure des salaires (ci-après : ESS) pour une activité de compétences 1 et en tenant compte d’une réduction de 5 % pour les limitations fonctionnelles retenues, la CNA est arrivée à la conclusion que l’assuré pouvait réaliser un salaire de 64'356 fr. dans une activité adaptée, soit davantage que le revenu d’une cinquantaine de milliers de francs qu’il obtiendrait sans accident. Cela étant, en l’absence d’une diminution notable de sa capacité de gain due à l’accident, elle ne pouvait lui reconnaître le droit à une rente d’invalidité. Pour ce qui est de l’IPAI, elle l’a fixée à 22'230 fr., soit 15 % de 148'200 francs. Par courrier du 15 novembre 2019 de son mandataire, l’assuré a formé opposition à la décision du 14 octobre 2019. Dans son complément d’opposition du 31 janvier 2020, l’assuré a critiqué tant la capacité de travail que les limitations fonctionnelles retenues dans la décision de la CNA, qui seraient arbitraires, faute de reposer sur un examen médical neutre. Se référant au rapport du 6 janvier 2020 du Dr S.________ produit en annexe, qui retient une capacité de travail de 50 %, l’assuré a fait valoir en bref qu’il peinait à maintenir l’activité d’indépendant qu’il avait reprise le 1 er octobre 2018 à 50 %. Cela étant, il estimait qu’une nouvelle appréciation de sa capacité de travail devait être effectuée et requérait à cette fin la mise en œuvre d’une expertise orthopédique. Par ailleurs, l’assuré a critiqué le calcul du degré d’invalidité effectué par la CNA ; il estimait que le revenu sans invalidité estimé à 50'000 fr. alors que le revenu invalidité avait été pour sa part fixé à plus de 64'000 francs, n’avait aucun sens et portait atteinte au principe du parallélisme des revenus. Il a en outre fait valoir que la CNA ne pouvait pas se fonder sur les données chiffrées résultant de son certificat individuel AVS, puisque celles-ci devaient être corrigées en fin d’année pour un indépendant. Il s’est engagé à produire les documents relatifs aux années 2015 à 2017 prouvant que ses revenus ont été largement supérieurs au revenu sans invalidité indiqué dans la décision. Cela étant, l’assuré a principalement conclu à ce qu’il soit reconnu comme invalide à 100 % du jour de son accident, le 7 décembre 2017, subsidiairement à ce qu’il soit reconnu invalide à 100 % du jour de son accident puis à 50 % dès le 1 er octobre 2018, avec mise au bénéfice de toutes les prestations LAA, y compris de l’indemnité pour atteinte à l’intégrité, dont le taux et le montant devaient être réévalués, ainsi qu’à la correction du montant des indemnités journalières qui devaient être rectifiées sur la base de la détermination des revenus réalisés avant l’accident. Dans un rapport du 6 janvier 2020, le Dr S.________ indiquait comme séquelles de l’accident du 7 décembre 2017 une arthrose post-traumatique sévère radio-lunaire, avec des douleurs aux charges même légères, une perte d’endurance de la main gauche, une perte de force de deux tiers, une perte d’extension de 40 % ainsi qu’une pseudoarthrose de la styloïde ulnaire asymptomatique. La palpation était douloureuse sur la face palmo-radiale du radius distal, indolore sur le lunatum et l’interligne radio-lunaire. Il relevait notamment que l’assuré se plaignait d’une sensation de fatigue au poignet gauche lorsqu’il conduisait par mauvais temps (les deux mains sur le volant) plus de 100 kilomètres. Au status, la mobilité en flexion/extension était à 65-0-40°, avec un Jamar de 25 kg à gauche et de 59 kg à droite. Le Dr S.________ relevait une petite amélioration des amplitudes et de la force de poigne de la main gauche. Il précisait que les douleurs anamnestiques étaient élevées et non reproductibles par l’examen clinique. Il indiquait que son patient travaillait à 50 % et était capable de vendre, d’acheter et de négocier au téléphone mais qu’il ne pouvait pas préparer des voitures ni conduire plus de 60 à 100 kilomètres, précision étant faite que l’assuré avait perdu son permis en octobre 2019. Par décision sur opposition du 17 avril 2020, la CNA a rejeté l’opposition et confirmé la décision du 14 octobre 2019. En ce qui concerne l’évaluation de la capacité de travail de l’assuré, elle a considéré que l’appréciation de la situation par la Dre X.________, avait une pleine valeur probante, dès lors qu’elle s’inscrivait dans le prolongement des appréciations médicales figurant au dossier. Elle a rappelé que son médecin d’arrondissement avait procédé à un examen clinique de l’intéressé le 13 février 2019 et que c’est après avoir pris connaissance du rapport du 15 février 2019 de la Dre N.________, qui ne préconisait aucune intervention ou traitement complémentaire, et de celui du Dr S.________ du 3 juin 2019, qui faisait mention d’un état séquellaire stable depuis plusieurs mois et requérait de la CNA la clôture administrative du cas, que la Dre X.________ avait conclu que, chez un assuré droitier, qui avait la possibilité d’adapter son travail, n’effectuait pas d’activités de mécanicien sur toute une journée mais uniquement quelques petites réparations ou mises en conformité du véhicule, l’activité habituelle était adaptée et qu’une pleine capacité de travail était exigible à compter du mois de juin 2019, sans diminution de rendement. L’intimée a écarté la requête tendant à la mise en œuvre d’une expertise médicale en considérant que, compte tenu des séquelles objectives de la main gauche et en admettant que l’assuré se conforme à l’obligation de limiter le dommage, il y avait lieu de reconnaître que ce dernier disposait d’une capacité de travail entière dans une activité adaptée, de sorte qu’il y avait lieu de procéder sur cette base au calcul de l’invalidité. S’agissant du revenu sans invalidité contesté par l’assuré, la CNA a relevé en substance que, l’assuré étant l’associé-gérant de la société E.________, dont il détenait l’entier des parts sociales, il devait être traité comme un indépendant et que si un assuré s’était contenté durant plusieurs années d’un revenu modeste provenant de son activité indépendante, c’est celui-ci qui était déterminant pour fixer le revenu de valide. La CNA a également rappelé que le Tribunal fédéral exclut en général un parallélisme des revenus en cas d’activité indépendante (cf. 8C_196/2013 du 21 août 2013). Ainsi, le revenu sans invalidité à retenir était celui qui ressortait de l’extrait du compte individuel AVS, soit en l’espèce environ 50'000 francs. En ce qui concerne le revenu avec invalidité, la CNA a indiqué que, l’assuré estimant ne pouvoir exercer son activité lucrative qu’à 50 % alors que sa capacité résiduelle de travail devait être considérée comme entière dans une activité adaptée, elle était en droit de se référer aux données salariales tirées de l’ESS pour l’année 2016, soit plus exactement au salaire versé en 2016 à un homme dans le secteur privé, avec un niveau de compétences 1, correspondant à des tâches physiques ou manuelles simples et ne nécessitant aucune formation particulière, à savoir à un salaire de 5'340 fr. par mois (ESS 2016, secteur privé Total TA1_tirage_skill_level). Après adaptation à la durée de travail hebdomadaire usuelle en Suisse (5'340 fr. : 40 X 41.70 heures x 12 = 66'803 fr. 40) et à l’évolution des salaires jusqu’en 2019 (T1.15 Indice des salaires nominaux 2016-2019 : + 0.4 % en 2017 + 0.5 % en 2018 et + 0.5 % en 2019), le revenu d’invalide se montait à 67'743 francs, auquel avait été appliqué un abaissement de 5 % pour tenir compte des limitations fonctionnelles de l’assuré, ce qui aboutissait à un revenu d’invalide de 64'356 fr. par an. La comparaison entre le revenu avec et sans invalidité ne laissant apparaître aucune perte de gain, le refus d’une rente d’invalidité était justifié. Enfin, la CNA a confirmé le taux de l’IPAI, faute pour le recourant d’avoir apporté des éléments médicaux susceptibles de le remettre en cause. En ce qui concerne le montant de l’IPAI, elle a rappelé que celui-ci était calculé sur le montant maximum du gain annuel assuré à l’époque de l’accident, en l’occurrence 148'200 francs. B. Par acte de son conseil du 19 mai 2020, J.________ a recouru devant la Cour des assurances sociales du Tribunal cantonal du canton de Vaud contre la décision sur opposition de la CNA du 17 avril 2020 en concluant principalement à l’annulation de la décision attaquée, la cause étant renvoyée à la CNA pour qu’elle détermine toutes les prestations LAA entrant en ligne de compte, y compris leur montant et leur taux. Subsidiairement, il conclut à ce qu’il soit « reconnu invalide au minimum à 100% du jour de son accident, le 7 décembre 2017, au 30 septembre 2018 et de 50% au minimum dès le 1 er octobre 2018 », la cause étant renvoyée à l’intimée pour déterminer toutes les prestations de la LAA auxquelles il a droit, avec correction du montant des indemnités journalières passées et à venir ainsi que celui de l’indemnité pour atteinte à l’intégrité dont le taux et le montant doivent être réévalués. Le recourant soutient que l’instruction menée par l’intimée est lacunaire et que l’évocation à plusieurs reprises dans le dossier d’une évaluation médicale par la CRR démontre la volonté de la CNA de le soumettre à un examen plus poussé ; à cet égard, il conteste tout manque de collaboration de sa part et fait valoir qu’il a accueilli favorablement la proposition d’une instruction poussée par la CRR pour autant qu’elle ne se fasse pas sur un mode stationnaire pour des raisons familiales. Ceci étant, il requiert la mise en œuvre d’une expertise médicale judiciaire. Dans l’éventualité où l’instruction serait considérée comme suffisante, il soutient que les conclusions à tirer des rapports médicaux vont à l’encontre de la motivation de la décision entreprise. Selon le recourant, le médecin d’arrondissement de la CNA n’a émis aucune appréciation probante de sa capacité de travail alors que les incapacités retenues par les Drs N.________ et S.________ sont maintenues et très claires. Il fait valoir que la Dre X.________ n’a aucune compétence ni légitimité pour écarter les rapports médicaux des Drs N.________ et S.________ figurant au dossier, selon lesquels la capacité de travail probante est de 50 %. Le recourant soutient également que son droit d’être entendu a été violé dès lors qu’il avait annoncé dans son opposition vouloir rassembler les pièces pour démontrer que ses revenus avant l’accident étaient plus importants que ceux retenus par l’intimée et que celle-ci a rendu la décision dont est recours avant qu’il ait pu les produire. Enfin, le recourant soutient que les bases des calculs effectués par l’intimée pour ce qui est des indemnités journalières et de l’IPAI sont erronées et que dits calculs doivent être corrigés sur la base des pièces qu’il doit fournir et des résultats des mesures d’instruction nouvelles. Par réponse du 3 septembre 2020, l’intimée a conclu au rejet du recours, en relevant que la conclusion du recourant tendant à ce que le montant des indemnités journalières soit corrigé est irrecevable, dès lors qu’il ne fait pas l’objet du présent litige. En ce qui concerne l’appréciation de la capacité de travail, l’intimée fait valoir qu’il n’y a pas d’éléments dans les rapports des Drs N.________ et S.________ permettant de s’écarter de l’évaluation de son médecin d’arrondissement, qui a pleine valeur probante. Rappelant que le recourant dispose d’une pleine capacité de travail dans une activité adaptée à ses limitations fonctionnelles et relevant l’absence de critique quant au calcul de l’invalidité, l’intimée renvoie pour le surplus à la motivation de la décision entreprise sur ce point. En ce qui concerne le taux de l’IPAI, l’intimée estime qu’il n’y a pas d’avis médical permettant de mettre en doute l’évaluation de la Dre X.________. S’agissant du montant de l’IPAI, elle rappelle que dite indemnité se chiffre en pourcentage du montant maximum du gain annuel assuré à l’époque de l’accident (art. 22 al. 1 OLAA), lequel se montait, en 2017, à 148'200 francs. En conclusion, l’intimée conteste le grief d’une instruction lacunaire, qu’on ne saurait inférer de l’absence de séjour mis en œuvre à la CRR, qui n’a été préconisée ni par son médecin d’arrondissement, ni par le Dr S.________, qui, dans son rapport du 3 juin 2019, l’avait invitée à clore le cas administrativement. Par écriture du 28 octobre 2020, le recourant a requis la suspension de la présente procédure. A l’appui de sa requête, il a produit une copie de la communication de l’Office de l’assurance-invalidité pour le canton de Vaud (ci-après : l’OAI) du 8 octobre 2020 et de l’avis médical de son service médical régional (ci-après : le SMR) du 6 août 2020 aux termes duquel une expertise orthopédique doit être mise en œuvre au vu des divergences des avis médicaux concernant la capacité de travail du recourant. Dans ses déterminations du 18 novembre 2020, l’intimée a conclu au rejet de la requête de suspension. Elle fait valoir en substance que la situation médicale du recourant étant stabilisée depuis le 3 juin 2019, fait non remis en cause par l’intéressé, l’évaluation de l’exigibilité à laquelle a procédé la Dre X.________ doit s’entendre, s’agissant tant de l’activité habituelle que de l’activité adaptée, à compter de cette date. Elle relève que le fait que la Dre N.________ ait attesté, le 14 février 2019, que le recourant était apte à travailler à 100 % dans une activité adaptée, ne saurait remettre en cause l’estimation de la capacité de travail retenue par son médecin d’arrondissement. A la requête de la juge instructrice, l’OAI a produit le dossier de l’assuré le 8 décembre 2020. Dans celui-ci figure un rapport de la Dre N.________ du 14 février 2019 à l’attention de l’OAI dans lequel elle retient les limitations fonctionnelles suivantes : pas d’effort prolongé du poignet et pas de port de charges supérieur à 10 à 15 kg. Dans l’activité habituelle de marchand de voiture, elle estime que la capacité de travail du recourant est de 50% et que, dans une activité adaptée à ses limitations fonctionnelles, elle est de 100 %. Invitée à se déterminer sur le dossier de l’OAI, la CNA, par écriture du 18 janvier 2021, a indiqué que les pièces figurant dans le dossier de l’OAI n’étaient pas de nature à remettre en cause la décision du 17 avril 2020, en rappelant que le juge des assurances sociales doit apprécier la légalité des décisions attaquées sur la base de l’état de fait existant au moment de la clôture de la procédure administrative. Elle a confirmé ses conclusions tendant au rejet du recours. Par déterminations du 18 février 2021, le recourant a confirmé l’intégralité de ses conclusions. Il a produit le rapport médical établi par le Dr S.________ le 11 janvier 2021 à la demande de l’OAI, lequel a annulé l’expertise médicale qu’il avait envisagée de confier au Service de chirurgie plastique et de la main puisque le recourant comptait parmi ses patients. Cela étant, il fait valoir que ce rapport médical atteste une incapacité de travail de 100 % du 7 décembre 2017 au 1 er octobre 2018 et de 50 % dès cette date. Soutenant que les activités mentionnées dans le rapport du 11 janvier 2021 sont celles d’acheteur/vendeur et de préparateur de véhicules et que le Dr S.________ a confirmé qu’il n’est pas possible d’établir quel pourcentage de son activité est consacré au travail de vente et aux relations avec les clients et quelle autre partie concerne l’activité consistant à aller chercher et à préparer les véhicules pour la vente, il maintient qu’il n’existe aucun rapport médical constatant une capacité de travail totale dans l’activité habituelle. Cela étant, le recourant estime que l’instruction menée par l’intimée reste incomplète sur plusieurs points dès lors que l’activité habituelle n’est pas raisonnablement exigible à 100 % et que toute activité qui serait considérée comme compatible avec son état de santé reste à démontrer, sans diminution de rendement, avec la possibilité de réaliser un revenu au moins égal à celui qu’il percevait avant l’accident. Le rapport du Dr S.________ du 11 janvier 2021 à l’attention de l’OAI atteste une incapacité de travail de 100 % à compter du 17 décembre 2017 et de 50 % à compter du 1 er octobre 2018 dans l’activité d’acheteur/vendeur, préparateur de véhicules jusqu’au jour du rapport. Selon le Dr S.________, l’assuré restera incapable de fournir des efforts maximaux de la main gauche de manière définitive mais la mobilité et la force résiduelle sont suffisantes pour qu’il n’y ait pas de proposition de chirurgie de sauvetage, qui ne parviendrait pas à élever cette fonction. Ainsi, l’assuré restera incapable de porter des charges de plus de 5 kg sur de longues durées ou d’effectuer des travaux manuels en amplitude finale du poignet. Le travail de vente, de communication et de relation avec les clients ainsi que les travaux de bureau peuvent être effectués à 100 % ; par contre la partie de la préparation des véhicules ne peut pas être effectuée comme avant l’accident. Le Dr S.________ retient comme limitations fonctionnelles une diminution des amplitudes et de la force du poignet gauche. Il indique ne pas avoir de doutes quant à la capacité de conduire de l’assuré. Cela étant, il estime que dans son activité habituelle, l’assuré peut travailler le nombre d’heures « normal », pour autant qu’il ne porte pas des charges de plus de 5 kg. Dans une activité adaptée, l’assuré peut effectuer un horaire « normal ». Si son pronostic est bon quant au potentiel de réadaptation de l’assuré, le Dr S.________ relève que l’intéressé a toutefois de la difficulté à accepter la perte de revenu, en soulignant qu’apparemment il gagnait très bien sa vie dans son activité indépendante de vente de voiture et qu’il est difficile de déterminer quelle part il prenait dans la préparation des véhicules avant l’accident. L’intimée ne s’est pas déterminée plus avant.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du recourant à une rente d’invalidité de l’assurance-accidents et le taux de l'indemnité pour atteinte à l’intégrité retenu par l'intimée. Les conclusions du recourant tendant à la poursuite du versement de l’indemnité journalière et à la réévaluation de son montant sont irrecevables dès lors qu’elles ne ressortissent pas à l’objet de la décision dont est recours, qui statue uniquement sur le droit du recourant à une rente d’invalidité et fixe le taux de l’IPAI. Au demeurant, il y a lieu de constater que le recourant, qui était déjà assisté d’un mandataire professionnel, ne s’est pas opposé à la décision de l’intimée du 1 er juillet 2019 par laquelle elle a mis fin au versement des indemnités journalières avec effet au 3 juin 2019. En outre, il a été informé du montant des indemnités journalières par communication du 22 décembre 2017. Or,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par un acte administratif susceptible de recours (ATF 134 V 145 consid. 5.3 ; 129 V 110 consid. 1.2.2). En matière d’indemnités journalières, la jurisprudence du Tribunal fédéral a fixé le délai d’examen et de réflexion convenable à 3 mois ou 90 jours à compter de la communication d’un décompte d’indemnités journalières (TF 8C_340/2018 du 16 mai 2019 consid. 4.2). La contestation du recourant du montant de ses indemnités journalières est donc manifestement tardive. c) Les modifications introduites par la novelle du 25 septembre 2015, entrée en vigueur le 1 er janvier 2017 et modifiant diverses dispositions de la LAA, sont applicables au cas d'espèce, vu la date de l’accident assuré (cf. ch. 1 des dispositions transitoires relatives à cette modification [RO 2016 4388]). 3. a) Le recourant reproche à l’intimée d’avoir rendu la décision dont est recours avant d’avoir reçu les pièces qu’il entendait produire pour prouver que ses revenus avant l’accident étaient largement supérieurs au revenu sans invalidité retenu pour calculer le degré d’invalidité. Il fait valoir à cet égard une violation de son droit d’être entendu. b)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on ne voit pas en quoi l’intimée aurait violé le droit d’être entendu du recourant en statuant sur son opposition le 17 avril 2020, soit avant que celui-ci ait produit les pièces qu’il avait annoncées dans son complément d’opposition du 31 janvier 2020. En effet, force est de constater que le recourant, respectivement la société qui l’employait et dont il est l’unique associé gérant, disposait des services d’une fiduciaire et qu’il lui était par conséquent aisé de produire tout document attestant ses revenus avant l’accident dans un délai relativement court. Or, il s’est passé près de trois mois entre l’annonce de la production des pièces annoncées et le moment où l’intimée a rendu sa décision sur opposition. Au demeurant, la Cour de céans relève que le recourant n’a pas produit de pièces attestant des revenus plus élevés que ceux retenus par l’intimée dans le cadre de la présente procédure de recours. Le grief de violation du droit d’être entendu tombe donc à faux.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5. a)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in Dupont/Moser-Szeless [édit.], Loi sur la partie générale des assurances sociales, Commentaire romand, 2018, n. 63 ad art. 61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6. a) En ce qui concerne l’évaluation de la capacité de travail du recourant, l'intimée estime que l'examen final de son médecin d'arrondissement du 6 juin 2019, au terme duquel la Dre X.________ a retenu une capacité totale de travail dans une activité adaptée aux limitations fonctionnelles, repose sur une connaissance complète du dossier médical et que ses conclusions, objectives et motivées, sont convaincantes et ont ainsi pleine valeur probante. Pour sa part, le recourant conteste le point de vue de l’intimée, en tant qu’il se base sur l’évaluation médicale de la Dre X.________, en faisant valoir que celle-ci n’a aucune compétence ni légitimité pour écarter les rapports de ses médecins traitants, les Drs N.________ et S.________ figurant au dossier qui, selon lui, attestent une incapacité de travail de 50 %. Le grief du recourant tiré de l’absence de compétence et de légitimité du médecin d’arrondissement de l’intimée qui a procédé à l’évaluation de sa capacité de travail est sans pertinence pour juger de la valeur probante de son appréciation. En effet,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(arrêts 8C_108/2020 du 22 décembre 2020 consid. 4.4.2 ; 8C_59/2020 du 14 avril 2020 consid. 5.2 ; 8C_316/2019 consid. 5.4 du 24 octobre 2019 et les arrêts cités). b) Le recourant soutient encore que les conclusions à tirer des rapports de ses médecins traitants quant à sa capacité de travail résiduelle sont en contradiction avec l’appréciation du médecin d’arrondissement, qui serait de ce fait sans valeur probante. En l’espèce, l’appréciation finale de la Dre X.________ du 6 juin 2019 tient compte de l’ensemble des pièces médicales versées au dossier, repose sur l’examen clinique auquel elle avait procédé le 13 février précédent, tient compte des plaintes du recourant ainsi que des récents avis médicaux de ses médecins traitants (rapports de la Dre N.________ du 15 février 2019 et du Dr S.________ du 3 juin 2019) selon lesquels la situation était stabilisée sur le plan médical, aucune intervention chirurgicale ne pouvant plus l’améliorer. C’est sur cette base que le médecin d’arrondissement de la CNA a conclu que le recourant avait recouvré une pleine capacité de travail dans une activité adaptée aux limitations fonctionnelles qu’elle avait déterminées dans son appréciation du 22 mai 2019, à savoir : pas d’activité répétée avec la main et le poignet gauches, pas d’activité lourde avec le membre supérieur gauche et pas de port de charge supérieur à 20 kg. Motivées de façon convaincante, les conclusions de l’appréciation du 6 juin 2019 de la Dre X.________ ont pleine valeur probante au sens de la jurisprudence. Contrairement à ce que soutient le recourant, les constatations et les conclusions du médecin d’arrondissement de la CNA ne sont pas en contradiction avec celles de ses médecins traitants. D’une part, leurs constatations en termes de force et de mobilité du poignet gauche sont superposables avec celles de la Dre X.________. D’autre part, tous deux considèrent que la situation est stabilisée d’un point de vue médical et qu’aucune intervention n’est susceptible d’améliorer la mobilité et la force du poignet gauche. Enfin, dans son rapport du 14 février 2019 à l’attention de l’OAI, la Dre N.________ a retenu les limitations fonctionnelles suivantes : pas d’effort prolongé du poignet, pas de port de charges supérieur à 10 - 15 kg. Dans l’activité habituelle de marchand de voiture, elle estimait déjà que la capacité de travail du recourant était de 50 % mais que, dans une activité adaptée à ses limitations fonctionnelles, elle était de 100 %. Cela étant, force est de considérer que l’appréciation médicale de la Dre N.________ corrobore celle de la Dre X.________ en ce qui concerne les limitations fonctionnelles et la capacité de travail résiduelle du recourant. Pour sa part, le Dr S.________ ne s’est pas prononcé sur les questions des limitations fonctionnelles et de la capacité de travail du recourant dans une activité adaptée à celles-ci. Il a seulement attesté à l’époque que l’activité habituelle de marchand de voitures, qui comporte une partie de travail manuel, ne pouvait pas être exercée à 100 % mais seulement à 50 %. Ce n’est que dans le rapport qu’il a établi le 11 janvier 2021 à l’attention de l’OAI que le Dr S.________ s’est prononcé sur les questions des limitations fonctionnelles et de la capacité de travail du recourant dans une activité adaptée. Outre le fait que cette évaluation intervient près d’une année après que l’intimée a rendu sa décision sur opposition et qu’elle ne saurait par conséquent être prise en compte dans le cadre de la présente procédure de recours, le juge des assurances sociales devant se prononcer sur l’état de fait existant au moment de la clôture administrative du dossier, force est de constater que le Dr S.________ tend à rejoindre l’avis de la Dre X.________ quant à la capacité de travail résiduelle du recourant, puisqu’il estime que, dans son activité habituelle de marchant de voiture, celui-ci peut travailler selon un horaire normal pour autant qu’il ne porte pas des charges supérieures à 5 kg et que, dans une activité adaptée à ses limitations fonctionnelles, il peut travailler selon un horaire normal. Par ailleurs, le recourant tombe à faux lorsqu’il critique la décision dont est recours qui, selon lui, retiendrait une pleine capacité de travail dans son activité habituelle de marchand de voiture. S’il est vrai que la Dre X.________ avait retenu cette possibilité dans son évaluation du 22 mai 2019, elle l’a toutefois écartée après avoir pris connaissance de l’avis médical du Dr S.________ du 3 juin 2019. Enfin, les critiques du recourant quant à la supposée instruction lacunaire de l’intimée doivent également être écartées. La Dre X.________ a en effet expliqué dans son appréciation du 6 juin 2019 qu’elle renonçait à demander un second avis médical au Dr R.________, d’une part en raison du manque de collaboration du recourant, d’autre part en raison de l’avis médical récent du Dr S.________ du 3 juin 2019. Or, il ressort clairement du dossier que le recourant a peiné à collaborer avec l’intimée, puisqu’il ne s’est pas présenté à trois consultations médicales, dont une programmée chez le Dr R.________, sous divers prétextes et que, s’agissant d’une éventuelle évaluation médicale à la CRR, il l’a conditionnée au fait qu’elle ne se fasse pas sur un mode stationnaire, eu égard, selon ses différentes explications, au fait qu’il peine à dormir en dehors de chez lui ou à sa situation familiale. Par ailleurs, aucun des médecins traitants du recourant n’a évoqué la nécessité d’une évaluation médicale par la CRR. c) Au vu de ce qui précède, il y a lieu de considérer que la capacité de travail du recourant est, depuis le mois de juin 2019, entière dans une activité adaptée aux limitations fonctionnelles décrites dans le rapport de la Dre X.________ du 22 mai 2019. 7. Reste à examiner le degré d’invalidité présenté par le recourant, compte tenu de sa capacité totale de travail dans une activité adaptée à ses limitations fonctionnelles.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En l’espèce, le recourant réfute le revenu sans invalidité retenu par l’intimée, prétendant qu’il est largement supérieur. Il n’a toutefois produit aucune pièce corroborant son allégation. Cela étant, dès lors que l’intimée s’est fondée sur les revenus soumis à cotisation durant les années 2016 et 2017 tels qu’ils ressortent de l’extrait du compte individuel AVS du recourant, il y a lieu de reconnaître qu’elle a évalué le revenu sans invalidité le plus concrètement possible, comme l’exige la jurisprudence. Au demeurant, c’est un salaire de 48'000 fr. qui est indiqué sur la déclaration d’accident. Ainsi, le revenu sans invalidité tel que retenu par l’intimée, soit 50'000 fr., est correct. Pour le surplus, l’intimée a justement calculé le revenu sans invalidité, en se fondant sur les données salariales telles qu’elles ressortent de l’ESS, ce qu’elle était légitimée à faire, le recourant ne mettant pas pleinement en valeur sa capacité résiduelle de travail. La comparaison des revenus, exempte de critique, mène à la constatation que le recourant ne subit pas de perte de sa capacité de gain. La décision sur opposition est ainsi bien fondée en ce qui concerne le droit à une rente d'invalidité, qui doit être nié. 8. a) Le recourant reproche également à l'intimée une estimation incorrecte de l’indemnité pour atteinte à l’intégrité (15 %) à laquelle il a droit, sans autre précision quant au pourcentage. Il n’a produit aucune pièce médicale à ce sujet.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(FRESARD/MOSER-SZELESS,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9 septembre 2019, la Dre X.________ – seul médecin à s’être prononcé sur la question – a retenu qu'en présence d'une grave arthrose radio-carpienne, qui correspond par analogie à une arthrodèse du poignet gauche, un taux d'indemnisation de 15 % pouvait être retenu. Pour ce faire, elle s’est basée sur les conclusions du rapport du 3 septembre 2019 du Prof M.________ qui concluait à l’existence d’une grave arthrose radio-carpienne. Pour le calcul du taux de l’IPAI en résultant, la Dre X.________ s’est référée à la table 3 du barème d’indemnisation éditée par la CNA (table n° 2870/5.f). Le recourant étant droitier, l'appréciation de la Dre X.________ échappe à la critique, quoi qu'en dise l'assuré, ce d'autant qu'elle n'est contredite par aucun autre médecin. 9. Le droit d’être entendu garanti par l’art. 29 al. 2 Cst. comprend notamment le droit pour l’intéressé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tendant à la mise en œuvre d’une expertise orthopédique du recourant s'avère inutile et doit être rejetée. 10. a) En conclusion, le recours doit être rejeté et la décision attaquée confirmée. b) Il n’y a pas lieu de percevoir de frais judiciaires, la procédure étant gratuite (art. 61 let. fbis LPGA et art. 1 LAA). c) Le recourant,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