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453 vom 18. Juni 2021</w:t>
      </w:r>
    </w:p>
    <w:p>
      <w:r>
        <w:t>VD Tribunal cantonal, 2021-06-18, FR</w:t>
      </w:r>
    </w:p>
    <w:p>
      <w:r>
        <w:rPr>
          <w:b/>
        </w:rPr>
        <w:t xml:space="preserve">Quelle: </w:t>
      </w:r>
      <w:r>
        <w:t>https://mcp.opencaselaw.ch/entscheid/vd_findinfo_Arr_t___2021___453</w:t>
      </w:r>
    </w:p>
    <w:p>
      <w:r>
        <w:t>FR: VD_FINDINFO Arrêt / 2021 / 453 du 18 juin 2021</w:t>
      </w:r>
    </w:p>
    <w:p>
      <w:r>
        <w:t>IT: VD_FINDINFO Arrêt / 2021 / 453 del 18 giugno 2021</w:t>
      </w:r>
    </w:p>
    <w:p>
      <w:pPr>
        <w:pStyle w:val="Heading2"/>
      </w:pPr>
      <w:r>
        <w:t>Regeste</w:t>
      </w:r>
    </w:p>
    <w:p>
      <w:r>
        <w:t>NOUVELLE DEMANDE, REJET DE LA DEMANDE, ENQUÊTE SUISSE SUR LA STRUCTURE DES SALAIRES{ESS}, FORCE PROBANTE, EXPERTISE | 17 LPGA, 87 RAI</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4.1</w:t>
      </w:r>
    </w:p>
    <w:p>
      <w:r>
        <w:t>; ATF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b) En l’occurrence, le recourant soutient que le revenu sans invalidité devrait être établi sur la base de la CNT du secteur principal de la construction en Suisse et s’élever à 71'552 fr., et non pas à 66'453 fr. 12 comme l’a retenu l’OAI sur la base de l’ESS. Or, le recourant ne présente d’incapacité de travail dans son activité habituelle d’ouvrier agricole que depuis 2013. Avant cette date, il était ainsi en mesure d’exercer toute activité professionnelle. Il n’a toutefois plus de revenus depuis 2006, sous réserve de deux mois d’activité en 2009. Il n’a en outre jamais œuvré dans le domaine de la construction en Suisse, sa seule activité professionnelle supérieure à deux mois l’ayant été dans le domaine de l’agriculture. N’ayant jamais œuvré dans la construction depuis son arrivée en Suisse en 1997, le recourant ne peut être suivi lorsqu’il affirme que le revenu sans invalidité devrait être fixé selon la CNT du secteur de la construction. L’OAI pouvait dans ces conditions légitimement déterminer le revenu sans invalidité en se fondant sur l’ESS, plus particulièrement sur le revenu pour des activités non qualifiées dans le domaine de la production et des services, dès lors que le recourant n’exerçait plus aucune activité lucrative, même dans le domaine de l’agriculture, depuis plusieurs années. Au demeurant, dans la mesure où le contrat-type de travail pour l’agriculture retient, en l’occurrence pour 2021, un revenu brut mensuel de 3'482 fr., soit 41'784 fr. par an, et que le recourant a réalisé, sur l’année durant laquelle il a travaillé neuf mois (en 2005), un revenu annuel de 24'173 fr., qui, rapporté à douze mois, correspond à un revenu annuel de 32'230 fr. 70, il y a lieu de constater que le revenu sans invalidité retenu par l’intimé sur la base de l’ESS lui est très favorable. c) Le recourant conteste encore l’absence d’abattement sur le revenu d’invalide, estimant que sa situation aurait justifié à tout le moins un abattement de 10 %. Or, dans la mesure où la baisse de rendement intègre déjà les limitations fonctionnelles, l’OAI était fondé à ne pas en tenir compte. En effet, les limitations fonctionnelles incluses dans l’examen de la capacité de travail résiduelle ne doivent pas avoir d’influence supplémentaire sur l’examen de l’abattement, afin d’éviter une double prise en compte du même aspect (TF 8C_9/2020 du 10 juin 2020 consid. 4.2.1). En outre, dès lors que l’intimé a considéré que l’assuré était capable de réaliser des activités non qualifiées, à savoir du niveau de compétence 1 de l’ESS, le salaire statistique est suffisamment représentatif de ce qu’il serait en mesure de réaliser en tant qu’invalide. Le salaire ainsi obtenu recouvre un large éventail d’activités variées et non qualifiées, ne requérant pas d’expérience professionnelle spécifique, ni de formation particulière, si ce n’est une phase initiale d’adaptation et d’apprentissage (TF 8C_9/2020 précité). L’OAI pouvait ainsi ne pas opérer d’abattement sur le revenu avec invalidité. Cela étant, si un abattement de 10 % était retenu, il en résulterait un degré d’invalidité de 23,5 % (66'453,12 – 50'836,63 / 66'453,12 x 100), arrondi à 24 % ( ATF 130 V 121 consid. 3.2 ). Or, un tel revenu n’ouvrirait pas le droit à la rente. d) A toutes fins utiles, on relèvera encore que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Certes, le seuil de 20  % serait dépassé si un abattement de 10 % était opéré sur le revenu d’invalide, ce qui devrait conduire à examiner le droit à des mesures de réadaptation. Or, le recourant ne peut prétendre à un reclassement professionnel au sens de l’art. 17 LAI, dès lors que sa capacité de gain n’apparaît pas susceptible d’être améliorée par dite mesure, des activités simples et répétitives lui étant accessibles. S’agissant des autres mesures professionnelles susceptibles d’entrer en ligne de compte dans son cas, on rappellera que l’intimé l’a mis au bénéfice d’une aide au placement, ce qui apparaît parfaitement adéquat pour assister le recourant dans la recherche d’une activité adaptée à son état de santé correspondant à l’exigibilité fixée par les médecins. Le recourant a toutefois refusé cette mesure. e) Finalement, la décision litigieuse ne prête pas non plus le flanc à la critique sous l’angle du calcul du préjudice économique. 8. a) Vu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c) Il n’y a par ailleurs pas lieu d’allouer de dépens, le recourant n’obtenant pas gain de cause (art. 61 let. g LPGA).</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l’occurrence, l’intimé a nié au recourant le droit aux prestations, faute pour lui de présenter un degré d’invalidité susceptible d’ouvrir le droit à des mesures professionnelles, respectivement à une rente. Certes, la situation du recourant n’est plus superposable à celle qui prévalait lorsqu’a été rendue la décision du 16 juillet 2008. A cette époque, en effet, les problèmes de santé de l’intéressé n’entraînaient aucune limitation fonctionnelle objective, que ce soit au plan psychiatrique ou somatique, aucun diagnostic avec effet sur la capacité de travail n’ayant alors été retenu. Désormais, l’état de santé du recourant ne lui permet plus d’exercer son activité habituelle d’ouvrier agricole, et des diagnostics avec effet sur la capacité de travail sont retenus (singulièrement ceux de douleurs lombaires par arthrose inter-apophysaire postérieure [M47.86], de tendinopathie avec syndrome sous-acromial de l'épaule gauche post-opératoire [M75.1], d'épicondylite droite [M77.1] et de gonarthrose bilatérale). Cela étant, comme exposé ci-après, le recourant conserve une capacité de travail entière dans une activité adaptée à ses limitations fonctionnelles, avec une baisse de rendement de 15 %, ainsi que cela ressort du rapport d’expertise du Centre médical F.________ du 14 juin 2019 et son complément du 6 septembre 2019, lesquels sont pleinement probants. b) Au plan somatique, les experts ont procédé à un examen de médecine interne ainsi qu’à un examen rhumatologique, après avoir pris connaissance du dossier, examiné l’assuré, fait état de ses plaintes et décrit son quotidien, ainsi que l’anamnèse par système. Sur le plan de la médecine interne, l’expert H.________ a retenu les diagnostics d’obésité exogène, d’hypertension artérielle, de diabète de type II et de syndrome d’apnée du sommeil léger non appareillé. Sur le plan rhumatologique, l’expert X.________ a retenu ceux, avec effet sur la capacité de travail, de douleurs lombaires par arthrose inter-apophysaire postérieure, de tendinopathie avec syndrome sous-acromial de l’épaule gauche post-opératoire et d’épicondylite droite, le diagnostic d’obésité étant sans effet sur la capacité de travail. Dans le complément d’expertise du 6 septembre 2019, le diagnostic de gonarthrose bilatérale a également été retenu avec effet sur la capacité de travail. L’expert de médecine interne générale a relevé que l’hypertension artérielle et le diabète de type II étaient traités selon les règles de l’art, et que l’apnée du sommeil était légère. Il résulte pour le surplus du complément d’expertise du 6 septembre 2019 que le diabète est équilibré. L’assuré, sur le plan de la médecine interne générale, présente ainsi depuis toujours une capacité de travail entière, sans limitation. Aucun élément ne vient contredire cette appréciation, motivée et dénuée de contradiction, laquelle est pleinement probante. Quant à l’expert rhumatologue, il a noté que les douleurs lombaires dataient globalement de 2003 et s’étaient révélées lorsque l’intéressé travaillait dans l’agriculture. Quant aux douleurs des genoux, elles étaient plus anciennes et dataient de 2001. Elles avaient récidivé en 2013 ; l’assuré avait alors subi une première arthroscopie du genou gauche en 2013 ; le genou droit avait quant à lui été opéré en août 2018, également par arthroscopie. L’expert rhumatologue a observé que les deux genoux étaient le siège d’une arthrose dont les seules solutions étaient prothétiques. L’assuré présentait encore une douleur de l’épaule gauche à la suite d’une chute et avait subi une arthroscopie en juin 2018. C’est sur la base de ces observations que l’expert rhumatologue a constaté que la capacité de travail dans l’activité habituelle était nulle depuis 2013, vu la récidive du genou gauche. Elle était toutefois entière dans une activité adaptée dès 2013, mais avec une baisse de rendement de 15 %, en retenant les limitations suivantes : pas d’effort de soulèvement de plus de</w:t>
      </w:r>
    </w:p>
    <w:p>
      <w:r>
        <w:rPr>
          <w:b/>
        </w:rPr>
        <w:t>E. 10</w:t>
      </w:r>
    </w:p>
    <w:p>
      <w:r>
        <w:t>kg, pas de porte-à-faux du buste, port de charge limité à 10 kg, limitation de la marche et du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Le rapport du Dr V.________ ne vient pas remettre en cause les observations de l’expert rhumatologue. Le Dr V.________ relève en effet des phénomènes dégénératifs au niveau du rachis lombaire et des genoux, dont l’expert a tenu compte. Il mentionne encore un status post-chirurgical au niveau des genoux et de l’épaule gauche, également pris en considération par l’expert. Pour le surplus, le Dr V.________ évoque la possibilité d’un rhumatisme inflammatoire, sans toutefois le retenir. Dans ces conditions, l’appréciation de ce médecin n’est pas non plus de nature à faire douter de celle, pleinement probante, de l’expert rhumatologue. c) Au plan psychiatrique, l’expert J.________, après avoir également pris connaissance du dossier et examiné l’assuré, a noté que le recourant présentait un épisode dépressif léger depuis 2017, avec syndrome somatique (F32.0), avec une tristesse légère, des sentiments d’infériorité et de dévalorisation et de découragement par rapport à sa situation financière et sociale, avec idées noires, mais sans risque de passage à l’acte, ni hospitalisation en milieu psychiatrique. Il n’a pas retenu de trouble anxieux car les critères de la Classification internationale des maladies (ci-après : CIM-10) n’étaient pas remplis. Il a noté que lors de l’expertise effectuée en 2007, le Dr G.________ avait retenu un état de stress post-traumatique anamnestique, sans toutefois l’étayer. Le Dr J.________ ne retenait quant à lui pas ce diagnostic, car les critères de la CIM-10 n’étaient pas réalisés, soit en particulier la mise en évidence de symptômes typiques survenus dans les 6 mois suivant l’événement traumatique et hors du commun. En effet, si l’assuré avait été très affecté quand il avait aperçu le cadavre de son frère et qu’il avait eu peur pour sa famille, et s’il présentait des cauchemars liés aux conséquences de la guerre, il n’avait pas vécu de véritable événement traumatisant pour lequel il aurait eu peur de mourir lui-même. Au demeurant, pour pouvoir retenir ce diagnostic d’état de stress post-traumatique, il aurait également fallu connaître l’expertisé avant la survenue de cet état, ce qui n’était en l’occurrence pas le cas. L’intéressé ne présentait en outre pas de flashback durant la journée. Pour ces motifs, l’expert J.________ n’a pas retenu pas le diagnostic d’état de stress post-traumatique. L’expert J.________ a encore relevé que les plaintes de l’expertisé n’étaient ni plausibles, ni cohérentes, eu égard à l’entretien clinique et aux activités quotidiennes. En effet, malgré les douleurs évoquées et la tristesse alléguée, l’assuré était capable de s’occuper de sa famille et de son jardin, où il avait plaisir à passer tout son temps, de regarder la télévision et plus particulièrement les matchs de football de l’équipe nationale [...] ainsi que la politique de son pays. Il avait en outre de bonnes ressources sociales, faisant état de rencontres régulières avec ses enfants ainsi qu’avec la communauté [...] de sa commune. L’expert J.________ a ainsi retenu que l’assuré présentait un état dépressif, de degré léger, qui provoquait une diminution de la capacité de résistance, de la capacité d’endurance, de la capacité de flexibilité et de la capacité de changement, d’un degré plutôt léger. Cela étant, l’assuré disposait d’une capacité d’adaptation à des règles de routine, d’une capacité de planification et de structuration des tâches, à mobiliser ses compétences et connaissances, à prendre des décisions, des initiatives, à s’affirmer, à tenir une conversation et des contacts avec des tiers, ainsi que celle de vivre en groupe, établir des relations et prendre soin de lui-même. L’expert J.________ a ainsi conclu que, du point du vue psychiatrique, il n’y avait pas de limitation fonctionnelle empêchant l’intéressé de travailler, dans toute activité, depuis toujours. Le volet psychiatrique est lui aussi probant : l’expert a en effet expliqué pourquoi il ne partage pas l’appréciation du psychiatre traitant ; il a pris connaissance de l’entier du dossier et répondu de façon claire aux questions posées, en faisant état des éléments fournis par l’assuré, de son anamnèse et de ses activités journalières. Le rapport du Dr V.________ ne conduit pas à remettre en cause son appréciation. Non seulement ce médecin ne se prononce pas sur la capacité de travail, mais il n’expose pas en quoi un diagnostic de fibromyalgie, respectivement de trouble somatoforme douloureux, aurait dû être retenu. Pour le surplus, comme on l’a vu, l’expert J.________ s’est déterminé sur les raisons le conduisant à écarter le diagnostic d’état de stress post-traumatique, ainsi que celles pour lesquelles seul était retenu, sans effet sur la capacité de travail, un épisode dépressif léger avec syndrome somatique. Quant au Dr K.________, il explique dans son rapport du 14 avril 2020 que son patient présente des points douloureux, en se prévalant du fait que les experts du Centre médical M.________ auraient évoqué en 2007 une fibromyalgie. Or, comme l’a relevé le Dr C.________ du SMR dans un avis du 22 juin 2020, outre le fait que la situation a pu évoluer en près de 13 ans, l’expert J.________ expose de manière convaincante les raisons pour lesquelles il ne retient pas aujourd’hui un tel diagnostic. d) On notera encore que les trois experts ont procédé à une évaluation consensuelle pluridisciplinaire, à l’issue de laquelle ils ont estimé que l’assuré présentait une incapacité de travail totale dans son activité habituelle, mais une capacité totale de travail dans une activité adaptée, avec une baisse de rendement de 15 %, depuis 2013, vu l’atteinte rhumatologique. e) Le recourant ne peut dès lors être suivi lorsqu’il se plaint d’une instruction lacunaire de sa demande en se prévalant des rapports des Drs K.________ et V.________. Ceux-ci ne font pas état d’éléments jetant un doute sur l’appréciation des experts, ni n’établissent de contradiction avec leur appréciation, laquelle n’a dès lors pas lieu d’être complétée. L’OAI était ainsi fondé à se baser sur l’expertise, probante, du Centre médical F.________, ainsi que son complément, pour retenir que le recourant présente une capacité de travail nulle dans son activité habituelle d’ouvrier agricole, mais entière, avec baisse de rendement de 15 %, dans une activité adaptée à ses limitations fonctionnelles, à savoir : pas d’effort de soulèvement de plus de 10 kg, pas de porte-à-faux du buste, port de charge limité à 10 kg, limitation de la marche et du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7. Dans un autre moyen, le recourant conteste le revenu retenu sans atteinte à la santé, en plaidant qu’il a pratiqué comme maçon durant de « très nombreuses années » et que, sans atteinte à la santé, il aurait poursuivi cette activité. C’est donc le revenu de cette branche qui aurait selon lui dû être retenu, même s’il n’a pas sanctionné son parcours par l’obtention d’un titre. Toujours s’agissant du calcul du degré d’invalidité, il soutient, s’agissant du revenu d’invalide, qu’un abattement de 10 % au moins aurait dû être opéré sur celui-ci, vu ses limitations fonctionnelles, la baisse de rendement et son absence de formation.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