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426 vom 1. Juni 2021</w:t>
      </w:r>
    </w:p>
    <w:p>
      <w:r>
        <w:t>VD Tribunal cantonal, 2021-06-01, FR</w:t>
      </w:r>
    </w:p>
    <w:p>
      <w:r>
        <w:rPr>
          <w:b/>
        </w:rPr>
        <w:t xml:space="preserve">Quelle: </w:t>
      </w:r>
      <w:r>
        <w:t>https://mcp.opencaselaw.ch/entscheid/vd_findinfo_Arr_t___2021___426</w:t>
      </w:r>
    </w:p>
    <w:p>
      <w:r>
        <w:t>FR: VD_FINDINFO Arrêt / 2021 / 426 du 1 juin 2021</w:t>
      </w:r>
    </w:p>
    <w:p>
      <w:r>
        <w:t>IT: VD_FINDINFO Arrêt / 2021 / 426 del 1 giugno 2021</w:t>
      </w:r>
    </w:p>
    <w:p>
      <w:pPr>
        <w:pStyle w:val="Heading2"/>
      </w:pPr>
      <w:r>
        <w:t>Regeste</w:t>
      </w:r>
    </w:p>
    <w:p>
      <w:r>
        <w:t>COMPARAISON DES REVENUS, REVENU SANS INVALIDITÉ, ÂGE, ATTEINTE À LA SANTÉ PHYSIQUE | 28 al. 1 LAI, 28 al. 2 LAI, 28 al. 3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d)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9C_546/2020 du 2 novembre 2020 consid. 4.3 ; TF 9C_393/2008 du 27 janvier 2009 consid. 3.3 ; TFA I 750/04 du 5 avril 2006 consid. 5.3, in SVR 2007 IV n° 1 p. 1 ; I 11/00 du 22 août 2001 consid. 5a/bb, in VSI 2001 p. 274).</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Dans le cas d’espèce, le recourant soutient qu’en raison de son état de santé, il n’est plus capable d’exercer son activité de peintre en bâtiment à plein temps. Il pourrait en revanche exercer son activité à 50%, avec le soutien de l’assurance-invalidité. a) En premier lieu, il sied de relever que la situation médicale apparaît claire et ne fait pas l’objet de contestations particulières de la part du recourant. Si l’intimé s’est abstenu d’investiguer l’état de santé de l’intéressé au-delà des considérations de son médecin traitant, le Dr B.________, c’est que ces dernières, bien que succinctes, apparaissent comme cohérentes. En effet, les limitations fonctionnelles retenues (éviter les positions à genou, éviter la flexion forcée du genou gauche, éviter de monter et descendre des échelles, éviter les mouvements répétitifs de l’épaule droite, éviter le port de charge de plus de cinq kilos du membre supérieur droit) s’inscrivent comme les conséquences plausibles des diagnostics retenus. Au vu de ces limitations fonctionnelles, il apparaît ainsi clair que l’activité de peintre en bâtiment n’est plus exigible. Une activité adaptée peut en revanche être exercée à temps plein par le recourant, comme le relève le Dr B.________ dans son rapport du 13 juin 2020. Les considérations médicales versées au dossier pouvant être suivies, il sied de retenir que le recourant présente une pleine capacité de travail dans une activité adaptée à ses limitations fonctionnelles. b) En l’occurrence, le recourant est né en 1960. L’évaluation de l’invalidité d’un assuré qui se trouve proche de l’âge donnant droit à la rente de vieillesse, doit résulter d’une analyse globale de la situation et de l’examen de  manière réaliste de ses possibilités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Le recourant était âgé de 60 ans et 3 mois au moment déterminant, soit lorsque le Dr Haftgoli a constaté sa pleine capacité de travail dans une activité adaptée à ses limitations fonctionnelles (cf. rapport du 13 juin 2020). Il disposait ainsi encore d'une durée d'activité de près de cinq années, n’excluant pas d'emblée le caractère exploitable de sa capacité résiduelle de travail (ATF 143 V 431 consid. 4.5.2). Par ailleurs, il ne peut qu’être déduit des écritures et pièces au dossier du recourant que son intention est de poursuivre une activité professionnelle, certes de préférence son activité de peintre à 50%. Enfin, dans des activités industrielles légères, par exemple montage, contrôle ou surveillance d’un processus de production, ouvrier à l’établi dans des activités simples et légères, ouvrier dans le conditionnement, comme opérateur sur machines conventionnelles (perçage, fraisage, taraudage et autres), il existe de réelles possibilités d'embauche sur le marché équilibré de l'emploi (cf. TF 9C_286/2015 du 12 janvier 2016 consid. 4.2 et les arrêts cités). c) Quand bien même l’exercice de son activité professionnelle de peintre en bâtiment n’est plus compatible avec ses limitations fonctionnelles, le recourant a continué à la poursuivre à temps partiel, ce qui ne justifie pas pour autant de la prendre en compte pour déterminer le degré d’invalidité. En effet, l'obligation de diminuer le dommage impose notamment à l'assuré d’entreprendre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précédemment cité). Aussi, dans la mesure où le recourant ne s’est pas orienté dans une activité professionnelle adaptée aux limitations fonctionnelles décrites par son médecin traitant, le revenu d'invalide doit être calculé sur la base de salaires fondés sur les données statistiques résultant de l'Enquête suisse sur la structure des salaires ([ESS] ; ATF 139 V 592 consid. 2.3 p. 593). C’est ainsi à juste titre que l’intimé s’est fondé sur les salaires statistiques afin de déterminer le salaire avec invalidité. d) Cependant, la comparaison des revenus effectuée par l’intimé ne saurait être suivie. En effet, en tant que revenu sans invalidité, l’OAI a arrêté un montant de 60'270 francs. Pourtant, vu le certificat de salaire pour l’année 2019 produit par le recourant, ce dernier a effectivement perçu un salaire de 69'020 fr. Il n’y a aucune raison de s’écarter de ce montant en tant que revenu sans invalidité, lequel sera encore indexé à l’année 2020. S’agissant du revenu avec invalidité, il doit être fixé sur la base des statistiques salariales ressortant de l’ESS 2018. Le salaire de référence pour des hommes exerçant des tâches physiques ou manuelles simples dans le secteur privé (production et services) était, en 2018 de 5'417 fr. par mois, part au treizième salaire comprise (ESS 2018, tableau TA1_skill_level, niveau de compétence 1), soit, en 2020, après indexation, de 68’446 fr. 03 par an pour une activité exercée à 100 %, compte tenu de la durée hebdomadaire de travail dans les entreprises de 41,7 heures (tableau « Durée normale du travail dans les entreprises selon la division économique », établi par l’OFS). e) À la lecture de la décision attaquée, il apparaît que l’OAI a procédé à un abattement de 5% sur le revenu avec invalidité en raison de l’âge du recourant.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Compte tenu de ce qui précède et afin de fixer un taux d’abattement tenant compte de l’ensemble des circonstances personnelles du recourant, il convient non seulement de prendre en compte son âge à l’instar de l’intimé, mais également des limitations fonctionnelles induites pas son état de santé, de la titularité d’un permis B et de la courte expérience professionnelle du recourant depuis son arrivée en Suisse en 2016. Pris ensemble, ces critères justifient un taux d’abattement de 15 % sur le revenu avec invalidité. f) Vu les considérations qui précèdent, la comparaison des revenus entre le revenu avec invalidité, indexé à 2020 et abattu à hauteur de 15%, soit 58'179 fr., et le revenu sans invalidité arrêté à 69'365 fr.</w:t>
      </w:r>
    </w:p>
    <w:p>
      <w:r>
        <w:rPr>
          <w:b/>
        </w:rPr>
        <w:t>E. 10</w:t>
      </w:r>
    </w:p>
    <w:p>
      <w:r>
        <w:t>(indexé à l’année 2020), met en lumière une perte de gain de 11'185 fr. 97. Cette perte correspond à un degré d’invalidité de 16,13%, insuffisant pour ouvrir le droit à une rente. Ce degré d’invalidité n’ouvre pas non plus le droit à des mesures de reclassement au sens de l’art.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Toutefois, le seuil minimum fixé par la jurisprudence pour ouvrir le droit à une mesure de reclassement est une diminution de la capacité de gain de 20 % environ (ATF 139 V 399 consid. 5.3), diminution qui n’est pas atteinte en l’occurrence. Cependant, comme le relève l’intimé à l’occasion de sa réponse du 1 er décembre 2020, une aide au placement au sens de l’art. 17 LAI reste accessible au recourant. 6. a) Mal fondé, le recours doit par conséquent être rejeté et la décision attaquée confirmée. b) En dérogation à l’art. 61 let. a LPGA (dans sa teneur en vigueur jusqu’au 31 décembre 2020, applicable conformément à l’art. 83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du recourant, qui succombe (cf. art. 69 al. 1 LAI ; art. 49 al. 1 LPA-VD). c) Enfin,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