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411 vom 6. Mai 2021</w:t>
      </w:r>
    </w:p>
    <w:p>
      <w:r>
        <w:t>VD Tribunal cantonal, 2021-05-06, FR</w:t>
      </w:r>
    </w:p>
    <w:p>
      <w:r>
        <w:rPr>
          <w:b/>
        </w:rPr>
        <w:t xml:space="preserve">Quelle: </w:t>
      </w:r>
      <w:r>
        <w:t>https://mcp.opencaselaw.ch/entscheid/vd_findinfo_Arr_t___2021___411</w:t>
      </w:r>
    </w:p>
    <w:p>
      <w:r>
        <w:t>FR: VD_FINDINFO Arrêt / 2021 / 411 du 6 mai 2021</w:t>
      </w:r>
    </w:p>
    <w:p>
      <w:r>
        <w:t>IT: VD_FINDINFO Arrêt / 2021 / 411 del 6 maggio 2021</w:t>
      </w:r>
    </w:p>
    <w:p>
      <w:pPr>
        <w:pStyle w:val="Heading2"/>
      </w:pPr>
      <w:r>
        <w:t>Regeste</w:t>
      </w:r>
    </w:p>
    <w:p>
      <w:r>
        <w:t>RENTE D'INVALIDITÉ, MARCHÉ DU TRAVAIL, ÉVALUATION DE L'INVALIDITÉ, MESURE D'ORDRE PROFESSIONNEL, COMPARAISON DES REVENUS, REVENU HYPOTHÉTIQUE, REVENU SANS INVALIDITÉ | 18 al. 1 LAI, 28 LAI, 29 al. 1 LAI, 8 al. 1 LAI, 16 LPGA, 26 al. 2 RAI</w:t>
      </w:r>
    </w:p>
    <w:p>
      <w:pPr>
        <w:pStyle w:val="Heading2"/>
      </w:pPr>
      <w:r>
        <w:t>Erwägungen</w:t>
      </w:r>
    </w:p>
    <w:p>
      <w:r>
        <w:rPr>
          <w:b/>
        </w:rPr>
        <w:t>E. 6</w:t>
      </w:r>
    </w:p>
    <w:p>
      <w:r>
        <w:t>mai 2021 __________________ Composition :               Mme Durussel , présidente Mmes Dessaux et Berberat, juges Greffière :              Mme Chaboudez ***** Cause pendante entre : N.________ , à [...], recourant, représenté par PROCAP Suisse, et Office de l'assurance-invalidité pour le canton de Vaud , à Vevey, intimé. Art.</w:t>
      </w:r>
    </w:p>
    <w:p>
      <w:r>
        <w:rPr>
          <w:b/>
        </w:rPr>
        <w:t>E. 8</w:t>
      </w:r>
    </w:p>
    <w:p>
      <w:r>
        <w:t>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18 al. 1 LAI, l’assuré présentant une incapacité de travail (art. 6 LPGA) et susceptible d’être réadapté a droit à un soutien actif dans la recherche d’un emploi approprié (let. a) et à un conseil suivi afin de conserver un emploi (let. b).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 d) Selon l’art. 26 al. 1 RAI, lorsque la personne assurée n’a pu acquérir de connaissances professionnelles suffisantes à cause de son invalidité, le revenu qu’elle pourrait obtenir si elle n’était pas invalide correspond en pour-cent, selon son âge, aux fractions de la médiane, actualisée chaque année, telle qu’elle ressort de l’enquête de l’Office fédéral de la statistique sur la structure des salaires (ESS). L’alinéa 2 de cette disposition prévoit que le revenu que l’assuré pourrait obtenir s’il n’était pas invalide est le revenu moyen d’un travailleur de la profession à laquelle il se préparait lorsqu’il a été empêché par son invalidité d’achever sa formation professionnelle. Cette disposition repose sur la fiction que l’assuré a non seulement réussi sa formation mais a également trouvé un emploi dans la branche professionnelle y relative (TF 9C_163/2017 du 2 mai 2017 consid. 4.2). L’ESS ou les salaires recommandés par les associations professionnelles peuvent alors être utilisés pour la détermination du revenu. Il convient de décider dans le cas concret lequel des revenus est le plus approprié (TF 8C_116/2016 du 29 mars 2016 consid. 3.3). 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4. a) En l’occurrence, l’OAI a fait réaliser un examen neuropsychologique puis une expertise psychiatrique pour déterminer la capacité de travail du recourant et ses limitations fonctionnelles. Celui-ci ne conteste pas en tant que telles les conclusions de ces examens. Il faut constater que l’expertise, qui tient compte de l’examen neuropsychologique, remplit les réquisits jurisprudentiels en matière de valeur probante (cf. sur cette question ATF 134 V 231 consid. 5.1 ; 125 V 351 consid. 3a ; TF 8C_877/2018 du 24 juillet 2019 consid. 5). En effet, la Dre S.________ a pris connaissance de l’ensemble du dossier de l’assuré, a recueilli son anamnèse, tenu compte de ses plaintes et a détaillé ses observations cliniques, qu’elle a complétées par des analyses de laboratoire et des tests psychométriques. Elle expose de manière circonstanciée et convaincante pour quelles raisons elle a écarté certains diagnostics proposés par les psychiatres traitants au profit des autres diagnostics qu’elle retient. Il s’agit d’une insomnie non organique (F51.0), de troubles mentaux et troubles du comportement liés à la consommation de cannabis, syndrome de dépendance, utilisation continue (F12.25), d’autres troubles anxieux mixtes (F41.3), de traits de personnalité schizoïde, d’une atteinte cognitive légère et d’antécédents familiaux d’épilepsie et d’autres maladies du système nerveux (Z86.6). La Dre S.________ a ensuite procédé à l’examen de la capacité de travail du recourant en tenant compte des indicateurs jurisprudentiels destinés à l’évaluation du caractère incapacitant des affections psychiques et des syndromes de dépendance (ATF 145 V 215 et 143 V 418 consid. 6 et 7, qui renvoient à l’ATF 141 V 281). Elle est arrivée à la conclusion que le recourant bénéficie d’une pleine capacité de travail dans une activité adaptée, à savoir une activité sans stress, avec des contacts sociaux limités dans un environnement bienveillant. Elle prévoit une légère baisse de rendement – qu’elle ne chiffre toutefois pas – en raison de l’anxiété, qui perturbe les facultés cognitives du recourant et sont source de perte de confiance en soi. Si elle recommande une reprise progressive après l’amélioration du traitement de l’anxiété et des troubles du sommeil, il faut constater que la capacité de travail médico-théorique du recourant existe à 100 % depuis la fin de ses études, avec une légère baisse de rendement, comme l’experte le précise. Dans sa détermination du 14 octobre 2020, l’OAI admet, sur la base de l’avis de la spécialiste en réadaptation, qu’il se justifie de tenir compte d’une baisse de rendement de l’ordre de 20 %, reprenant les conclusions de l’examen neuropsychologique du 25 mars 2019. Dans ce rapport, les spécialistes en neuropsychologie concluent à la présence d’une dysfonction exécutive modérée sur le plan comportemental et cognitif, caractérisée principalement par des difficultés d’inhibition verbale et non verbale, ainsi que par des troubles du discours et une accélération de la pensée, qui diminue de manière significative l’autonomie de l’assuré dans les situations complexes. Elles recommandent dès lors d’éviter les interférences, les situations de stress, ainsi que les activités sollicitant des capacités de prise d’initiative et d’autocontrôle. Au vu de ce rapport et de l’expertise de la Dre S.________, il paraît adéquat de retenir une diminution de rendement de 20 % comme proposé par l’OAI. b) Dans un de ses griefs, le recourant estime que ses limitations fonctionnelles rendent totalement illusoire la recherche d’un emploi sur le premier marché de l’emploi. Il ne saurait être suivi dans son appréciation. D’une part, l’intimé a fourni, dans la feuille de calcul du salaire exigible du 30 septembre 2020, une liste d’activités réalisables dans le domaine scientifique qui respectent ses limitations fonctionnelles, et qu’il n’a d’ailleurs pas contestées. D’autre part, il faut constater que lors de son stage effectué en 2016, le recourant a donné entière satisfaction à son employeur, comme cela ressort du certificat de travail du 12 janvier 2017, qui porte également sur l’activité accessoire que le recourant avait auparavant exercée auprès du même employeur. Il apparaît que s’il n’a pas pu poursuivre le stage comme prévu c’est en raison de la pression survenue dans le contexte du changement d’activité envisagé, à savoir travailler uniquement comme enseignant et non plus comme responsable informatique (rapport du 22 janvier 2018 établi par [...] de RESSORT). Cela démontre que lorsqu’il est dans un cadre non stressant, le recourant est tout à fait en mesure de travailler à satisfaction d’un employeur. c) Dans son recours, le recourant a sollicité que l’OAI tienne compte du revenu moyen d’un travailleur de la profession à laquelle il se préparait en application de l’art. 26 al. 2 RAI. Dans le cadre de sa détermination du 14 octobre 2020, l’OAI a admis que sans son atteinte à la santé, le recourant aurait obtenu son master en géosciences et environnement. Dans un certificat du 9 janvier 2017, le Dr T.________ a en effet attesté que c’est en raison de son état de santé que recourant n’a pas pu poursuivre ses études universitaires. Pour calculer le revenu sans invalidité, l’OAI s’est référé aux données salariales statistiques de l’ESS, plus précisément au salaire correspondant à un niveau de compétences 4 dans des activités scientifiques. Le revenu sans invalidité fixé à 101'643 fr. 75 n’est pas contesté et peut en effet être confirmé. Le recourant ne conteste pas non plus le revenu avec invalidité, que l’OAI a calculé sur la base de l’ESS en se référant au salaire pour un emploi sans responsabilité dans le domaine scientifique. Tenant compte de la diminution de rendement de 20 %, il a fixé le revenu d’invalide à 57'786 fr. 19, montant qui peut également être confirmé. Dans la mesure où le recourant présente un taux d’invalidité de 43,15 %, c’est à juste titre que l’OAI propose la réforme de la décision attaquée en vue de l’octroi d’un quart de rente à partir du 1 er septembre 2017, à savoir six mois après le dépôt de la demande de prestations, en application de l’art. 29 al. 1 LAI. d) Le recourant sollicite en outre des mesures d’ordre professionnel, en particulier de pouvoir bénéficier du soutien de l’OAI dans la recherche d’une activité adaptée. Or, dans ses écritures des 14 octobre 2020 et 15 février 2021, l’intimé s’est déclaré prêt à accompagner le recourant dans sa recherche d’emploi par le biais d’une mesure d’aide au placement, qu’il doit requérir par écrit. C’est en outre à juste titre que l’OAI refuse l’octroi de mesures de reclassement au motif que celles-ci ne permettraient pas de réduire le préjudice économique au vu des limitations fonctionnelles du recourant et des compétences qu’il a déjà acquises. Il faut en effet rappeler qu’il est au bénéfice d’un bachelor en géosciences et environnement, qui lui permet d’exercer des activités adaptées dans le domaine scientifique telles que celles citées par l’OAI dans la feuille relative au calcul du salaire exigible. 5. a) Le recours doit par conséquent être admis et la décision attaquée réformée en ce sens que le recourant a droit à un quart de rente d’invalidité à compter du 1 er septembre 2017. Elle est confirmée pour le surplus.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700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