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394 vom 20. Juli 2021</w:t>
      </w:r>
    </w:p>
    <w:p>
      <w:r>
        <w:t>VD Tribunal cantonal, 2021-07-20, FR</w:t>
      </w:r>
    </w:p>
    <w:p>
      <w:r>
        <w:rPr>
          <w:b/>
        </w:rPr>
        <w:t xml:space="preserve">Quelle: </w:t>
      </w:r>
      <w:r>
        <w:t>https://mcp.opencaselaw.ch/entscheid/vd_findinfo_Arr_t___2021___394</w:t>
      </w:r>
    </w:p>
    <w:p>
      <w:r>
        <w:t>FR: VD_FINDINFO Arrêt / 2021 / 394 du 20 juillet 2021</w:t>
      </w:r>
    </w:p>
    <w:p>
      <w:r>
        <w:t>IT: VD_FINDINFO Arrêt / 2021 / 394 del 20 luglio 2021</w:t>
      </w:r>
    </w:p>
    <w:p>
      <w:pPr>
        <w:pStyle w:val="Heading2"/>
      </w:pPr>
      <w:r>
        <w:t>Regeste</w:t>
      </w:r>
    </w:p>
    <w:p>
      <w:r>
        <w:t>APPRÉCIATION ANTICIPÉE DES PREUVES, LIBRE APPRÉCIATION DES PREUVES, REJET DE LA DEMANDE, ACCIDENT NON PROFESSIONNEL, ATTEINTE À LA SANTÉ PHYSIQUE, ÉVALUATION DE L'INCAPACITÉ DE TRAVAIL, BASE DE CALCUL, COMPARAISON DES REVENUS, DEGRÉ DE L'INVALIDITÉ, RENTE D'INVALIDITÉ | 18 al. 1 LAA, 19 LAA, 6 al. 1 LAA, 16 LPGA, 6 LPGA, 61 let. c LPGA, 7 LPGA, 8 LPGA</w:t>
      </w:r>
    </w:p>
    <w:p>
      <w:pPr>
        <w:pStyle w:val="Heading2"/>
      </w:pPr>
      <w:r>
        <w:t>Erwägungen</w:t>
      </w:r>
    </w:p>
    <w:p>
      <w:r>
        <w:rPr>
          <w:b/>
        </w:rPr>
        <w:t>E. 20</w:t>
      </w:r>
    </w:p>
    <w:p>
      <w:r>
        <w:t>novembre 2020 ne fait pas mention d’éléments objectivement vérifiables qui auraient été ignorés par les Drs C.________ et M.________, lesquels en ont du reste tenu compte dans le cadre de leur évaluation consensuelle (rapport du 14 mai 2019 pp. 8 et 9 ; rapport du 30 mai 2019 p. 25). Au contraire, il confirme entièrement les conclusions des experts. d) En l’absence d’éléments objectivement vérifiables – de nature clinique ou diagnostique – qui auraient été ignorés dans le cadre de l’expertise bidisciplinaire (orthopédique et neurologique) des Drs C.________ et M.________ et qui seraient suffisamment pertinents pour remettre en cause le bien-fondé des conclusions des experts ou en établir le caractère incomplet, on ne voit en l’occurrence aucune raison de s’écarter des rapports d’expertise bidisciplinaire des 14 et 30 mai 2019, dont les conclusions médicales circonstanciées, minutieusement motivées et exemptes de contradictions peuvent donc être suivies. e) Le dossier contenant suffisamment d’éléments pour permettre à la Cour de céans de statuer en pleine connaissance de cause, la mise en œuvre d’un complément d’instruction sous la forme d’une expertise médicale apparaît inutile. Il convient en effet de rappeler que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141 I 60 consid. 3.3 ; 136 I 229 consid. 5.3 ; TF 8C_139/2016 du 24 octobre 2016 consid. 4.2). 6. Le recourant reproche également à l’intimée d’avoir violé le droit fédéral, en tant qu’elle a fixé le taux d’invalidité à 5.86 %. a) aa)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dd)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ee) Il ressort en l’occurrence du dossier que sur la base des limitations fonctionnelles définitives retenues au terme de l’appréciation faite par les Drs C.________ et M.________, il y a lieu d’admettre que la situation était stabilisée au plus tard le 1 er septembre 2016 comme en a décidé la CNA en mettant fin au versement de ses prestations provisoires avec effet au 31 août 2016. Ce point n’est pas contesté par le recourant. Aussi, il convient de retenir comme année de référence pour procéder à la comparaison de revenus l'année 2016.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w:t>
      </w:r>
    </w:p>
    <w:p>
      <w:r>
        <w:rPr>
          <w:b/>
        </w:rPr>
        <w:t>E. 23</w:t>
      </w:r>
    </w:p>
    <w:p>
      <w:r>
        <w:t>(montant qui intègre un abattement de 5 %), il en résulte un degré d’invalidité de 5.86 %, arrondi à 6 % (ATF 130 V 121), taux insuffisant pour ouvrir le droit à la rente d’invalidité (cf. art. 18 al. 1 LAA). 7. En l’absence de griefs du recourant à propos de l’indemnité pour atteinte à l’intégrité de 10 % qui lui a été octroyée par la CNA, la décision sur opposition attaquée doit être confirmée sur ce point. 8. Sur le vu de tout ce qui précède, la CNA était légitimée à refuser d’engager sa responsabilité pour les troubles au niveau de la cheville et du pied droits, à refuser à R.________ tout droit à une rente d’invalidité, et à lui octroyer une indemnité pour atteinte à l’intégrité de 10 %. 9. a) Mal fondé, le recours doit par conséquent être rejeté et la décision sur opposition litigieuse confirmée.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 c) aa) Par décision du 25 mars 2020, le recourant a été mis au bénéfice de l’assistance judiciaire avec effet au 17 février 2020 et a obtenu à ce titre la commission d’un avocat d’office en la personne de Me Muriel Vautier. bb) En l’occurrence, il ressort de la liste produite que les opérations relevant du mandat d’office ont été accomplies par l’avocate Muriel Vautier et par l’avocate Priscilla Dias. Me Vautier a effectué 13 heures et 30 minutes et Me Dias 10 heures et 40 minutes. Il apparaît ainsi que dans les faits, le mandat de conseil d’office conféré à Me Vautier a été délégué par cette avocate pour une partie des opérations à sa consœur avocate, sans aucune autorisation judiciaire, avec pour corollaire que l’activité déployée par celle-ci ne devrait pas être indemnisée. cc) Par jugement du 9 novembre 2020 (CASSO PP 6/19 – 37/2020), la Cour de céans a modifié sa pratique. Statuant par voie de coordination au sens de l’art. 38 ROTC (règlement organique du Tribunal cantonal du 13 novembre 2007 ; BLV 173.31.1), elle a prononcé qu’en l’absence d’autorisation judiciaire préalable, les opérations déléguées par le conseil d’office à un autre avocat titulaire d’un brevet, qu’il soit collaborateur, associé ou simple confrère, ne seront plus indemnisées, sous réserve de circonstances particulières. dd) Après examen de la liste des opérations produite le 19 avril 2021, il y a lieu de retenir exceptionnellement un temps total de 19 heures et 10 minutes de prestations, au tarif horaire de 180 fr., après déduction de 5 heures d’opérations, dues essentiellement au changement d’avocat, accomplies pour l’étude du dossier et l’analyse juridique par Me Dias, somme à laquelle il y a lieu d’ajouter la TVA au taux de 7,7 %, soit un total de 3’715 fr. 65. A ce montant, il convient d’ajouter les débours fixés forfaitairement à 5 % du défraiement hors taxe (art. 3bis al. 1 RAJ [règlement cantonal vaudois du 7 décembre 2010 sur l’assistance judiciaire en matière civile ; BLV 211.02.3]), avec TVA au taux de 7,7 % en sus, soit 185 fr. 80. L’indemnité totale sera donc arrêtée à 3'901 fr. 45. d) Le recourant est rendu attentif au fait qu’il devra rembourser l’indemnité du conseil d’office dès qu’il sera en mesure de le faire (art. 123 al. 1 CPC ; art. 18 al. 5 LPA-VD). Il incombera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