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291 vom 8. April 2021</w:t>
      </w:r>
    </w:p>
    <w:p>
      <w:r>
        <w:t>VD Tribunal cantonal, 2021-04-08, FR</w:t>
      </w:r>
    </w:p>
    <w:p>
      <w:r>
        <w:rPr>
          <w:b/>
        </w:rPr>
        <w:t xml:space="preserve">Quelle: </w:t>
      </w:r>
      <w:r>
        <w:t>https://mcp.opencaselaw.ch/entscheid/vd_findinfo_Arr_t___2021___291</w:t>
      </w:r>
    </w:p>
    <w:p>
      <w:r>
        <w:t>FR: VD_FINDINFO Arrêt / 2021 / 291 du 8 avril 2021</w:t>
      </w:r>
    </w:p>
    <w:p>
      <w:r>
        <w:t>IT: VD_FINDINFO Arrêt / 2021 / 291 del 8 aprile 2021</w:t>
      </w:r>
    </w:p>
    <w:p>
      <w:pPr>
        <w:pStyle w:val="Heading2"/>
      </w:pPr>
      <w:r>
        <w:t>Regeste</w:t>
      </w:r>
    </w:p>
    <w:p>
      <w:r>
        <w:t>REJET DE LA DEMANDE, ENQUÊTE{EN GÉNÉRAL}, TENUE DU MÉNAGE, ACTIVITÉ LUCRATIVE À TEMPS PARTIEL, MÉTHODE MIXTE D'ÉVALUATION, ÉVALUATION DE L'INVALIDITÉ, RENTE D'INVALIDITÉ | 28 al. 1 LAI, 28a al. 3 LAI, 16 LPGA, 27bis al. 2 RAI, 27bis RAI, 69 al. 2 RAI</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4</w:t>
      </w:r>
    </w:p>
    <w:p>
      <w:r>
        <w:t>a) L’évaluation de l’invalidité peut être effectuée selon trois méthodes, entre lesquelles il y a lieu d’opter lors du premier examen du droit d’un assuré à des prestations (ATF 137 V 334 consid. 3.1 ; TF 9C_827/2016 du 31 juillet 2017 consid. 5.1) : la méthode générale de la comparaison des revenus pour un assuré exerçant une activité lucrative à temps complet (art. 28a al. 1 LAI ; ATF 130 V 343 consid. 3.4), la méthode spécifique pour qui n’exerce pas d’activité lucrative et dont on ne peut raisonnablement exiger qu’il en entreprenne une (art. 28a al. 2 LAI ; ATF 130 V 97 consid. 3.3.1) et la méthode mixte pour un assuré exerçant une activité lucrative à temps partiel ou travaillant sans être rémunéré dans l’entreprise de son conjoint (art. 28a al. 3 LAI ; ATF 130 V 393).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TF 9C_236/2009 du 7 octobre 2009 consid. 3 et 4, in : SVR 2010 IV n° 11 p. 35).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A cet égard, il convient de distinguer la situation qui prévalait jusqu’au 31 décembre 2017 de celle qui a cours depuis le 1 er janvier 2018. Jusqu’au 31 décembre 2017, le revenu que la personne assurée aurait pu obtenir effectivement dans l’activité qu’elle effectuait à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consid. 4.1 et les références). Afin de satisfaire aux exigences de la Cour européenne des droits de l’homme (CourEDH) concernant une conception non discriminatoire de la méthode mixte d’évaluation de l’invalidité, telles que formulées dans l’arrêt Di Trizio contre Suisse du 2 février 2016 (n° 7186/09), le Conseil fédéral a procédé à une modification des dispositions réglementaires topiques (art. 27 RAI, art. 27bis al. 2 à 4 RAI et les dispositions transitoires de la modification du RAI du 1 er décembre 2017, RO 2017 7581). Cette modification est entrée en vigueur le 1 er janvier 2018. Attendu que la demande de prestations de l'assurance-invalidité et que la décision querellée – dont les dates déterminent les dispositions applicables d’un point de vue temporel au présent litige – ont été déposée, respectivement rendue les 21 octobre 2017 et 10 décembre 2019, la modification réglementaire précitée est applicable in casu ( cf. la lettre circulaire AI n° 372 de l’Office fédéral des assurances sociales du 9 janvier 2018). Depuis le 1 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27bis al. 3 let. a RAI). dd) En dépit des termes utilisés aux art. 28a al. 2 ss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Toutefois,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(ATF 142 V 290 consid 7 ; 131 V 51 consid. 5.1.2 et 5.2.)</w:t>
      </w:r>
    </w:p>
    <w:p>
      <w:r>
        <w:rPr>
          <w:b/>
        </w:rPr>
        <w:t>E. 5</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8C_877/2018 du 24 juillet 2019 consid. 5).</w:t>
      </w:r>
    </w:p>
    <w:p>
      <w:r>
        <w:rPr>
          <w:b/>
        </w:rPr>
        <w:t>E. 6</w:t>
      </w:r>
    </w:p>
    <w:p>
      <w:r>
        <w:t>a) En l’espèce, la recourante semble contester le statut d’active à 78 % et de ménagère à 22 % tel que retenu par l’intimé. L’on peut toutefois lire dans le recours qu’elle « travaille à 78 % par choix ». La recourante n’allègue pas au stade du recours que sans son atteinte à la santé, elle travaillerait à temps complet. En réalité, elle a indiqué tout au long de l’instruction menée par l’OAI qu’elle travaillait à temps partiel par choix. Elle a ainsi indiqué à l’OAI dans son formulaire de détermination du statut, le 19 décembre 2017, que sans atteinte à sa santé elle travaillerait à raison de 22 périodes sur 28 depuis le mois d’août 2016. La recourante a expliqué, lors de l’enquête ménagère effectuée à son domicile, qu’elle aurait aimé avoir 22 périodes d’enseignement, soit un taux d’occupation de 78 %. Actuellement, elle travaille à raison de 10 périodes, ce qui représente environ 60 % de son taux d’occupation contractuel à 17 périodes. Cela correspond précisément à sa capacité de travail, telle qu’attestée par les rapports médicaux au dossier. De plus, l’extrait de compte individuel AVS de la recourante, corroboré par les notes de l’entretien qui s’est tenu avec le directeur de l’établissement scolaire qui l’emploi, révèlent que la recourante a travaillé à temps partiel depuis 2006. L’appréciation de l’OAI selon laquelle le statut de la recourante est partagé entre une part active et une part ménagère ne prête pas le flanc à la critique, pas plus que le taux de personne active à 78 %. Le choix de la méthode mixte ne saurait être remis en cause non plus, compte tenu de l’activité de la recourante à temps partiel et du fait que même en l’absence d’atteinte à sa santé, la recourante serait occupée à temps partiel (consid. 4). Par ailleurs, la recourante considère qu’il est arbitraire de fixer la part relative à ses travaux habituels à 22 %, soit le solde disponible une fois sa part active déduite (100 – 78 = 22). Or la formulation de l’art. 27bis RAI est claire sur ce point, le taux d’invalidité des personnes exerçant une activité lucrative à temps partiel et accomplissant par ailleurs des travaux habituels est déterminé par l’addition du taux d’invalidité en lien avec l’activité lucrative et de celui en lien avec les travaux habituels. b) La recourante allègue également que c’est à tort que l’OAI s’est basé, pour évaluer le taux d’invalidité de la part active, sur un taux d’occupation théorique de 100 %. Jusqu’au 31 mars 2017, le dernier salaire que la personne assurée aurait pu obtenir compte tenu de l’évolution vraisemblable de la situation jusqu’au prononcé de la décision litigieuse (revenu sans invalidité)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(revenu d’invalide). Ainsi,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 4.1 et les références citées). Depuis le 1 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27bis al. 3 let. a RAI). Il s’ensuit que la nouvelle méthode de calcul est plus favorable à l’assurée. À la suite de la modification de l'art. 27bis RAI, l’AI a mis en œuvre depuis le 1 er janvier 2018 un nouveau modèle de calcul pour les personnes exerçant une activité lucrative à temps partiel, qui répond aux exigences de la CourEDH. Selon ce modèle, le calcul du taux d'invalidité dans le domaine de l'activité lucrative s'effectue désormais sur la base d'un revenu sans invalidité estimé de façon hypothétique selon un emploi à plein temps. La valeur ainsi déterminée est ensuite une nouvelle fois pondérée au moyen du facteur du taux d'occupation. Ce réaménagement répond aux critiques émanant entre autres de la CourEDH à l'égard de l'ancienne méthode de calcul, critiques selon lesquelles la double prise en compte, lors de la détermination du taux d'invalidité, d'un revenu minoré en raison d'une activité à temps partiel constituait une discrimination. On ne voit dès lors pas les raisons pour lesquelles l’art. 27bis RAI serait contraire à la loi. La recourante ne développe par ailleurs pas ses griefs sur cette question. Les statuts d’active et de ménagère de la recourante, exprimés en taux de respectivement 78 % et 22 % ne peuvent ainsi qu’être confirmés. La recourante présente un empêchement de 40 % s’agissant de son activité rémunérée, qu’elle n’a pas remis en question. Cela correspond à son activité effective actuelle, puisqu’elle travaille à 60 % de son temps d’occupation contractuel (100 – 60 = 40). Pondéré, son degré d’invalidité relatif à la part active s’élève donc bien à 31.2 % (78 x 40 / 100).</w:t>
      </w:r>
    </w:p>
    <w:p>
      <w:r>
        <w:rPr>
          <w:b/>
        </w:rPr>
        <w:t>E. 7</w:t>
      </w:r>
    </w:p>
    <w:p>
      <w:r>
        <w:t>a)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 er avril 2014 consid. 2.3 et les références citées). b) En l’occurrence, l’évaluation économique sur le ménage n’est pas contestée en tant que telle par la recourante, qui ne fait valoir aucun grief particulier relatif à l’établissement de l’enquête ou aux chiffres retenus. Le rapport remplit au demeurant toutes les exigences auxquelles la jurisprudence soumet la valeur probante d’un tel document, rappelées ci-avant. En revanche, la recourante argue que son degré d’empêchement dans les travaux habituels devrait être chiffré à 12 %, soit qu’il n’y aurait pas lieu de le pondérer, mais plutôt de reprendre le résultat de l’enquête ménagère tel quel. L’enquêtrice ménagère a détaillé la situation médicale de la recourante, ses limitations fonctionnelles telles que décrites dans les rapports des Drs G.________, N.________ et du SMR. Le rapport d’enquête décrit les conditions de logement de la recourante et liste toutes les tâches habituelles, par catégorie. Il est ensuite indiqué, pour chaque catégorie, comment les tâches étaient effectuées et par qui, avant l’atteinte, puis après l’atteinte. Des empêchements ont été reconnus dans deux catégories de tâches, soit l’entretien de l’appartement (nettoyages courants) et les soins aux enfants. Un total de 12 % d’empêchement a été arrêté par l’enquêtrice. Cela revient à dire que par rapport à sa situation sans atteinte à la santé, la recourante est limitée à raison de 12 % dans l’accomplissement de ses tâches ménagères, appréciation qu’il n’y a pas lieu de remettre en cause. Puisque la recourante travaillait et travaille toujours à temps partiel, il y a lieu de pondérer ce résultat, comme le prescrit la lettre de l’art. 27bis al. 4 RAI. La recourante consacrait habituellement une part de 22 % de son activité totale à ses travaux habituels, de sorte que désormais, empêchée à 12 %, elle présente un degré d’invalidité ménagère de 2.64 % (22 x 12 / 100). L’argument de la recourante selon lequel l’intimé aurait interprété l’art. 27bis RAI de manière arbitraire et contraire à la loi tombe à faux.</w:t>
      </w:r>
    </w:p>
    <w:p>
      <w:r>
        <w:rPr>
          <w:b/>
        </w:rPr>
        <w:t>E. 8</w:t>
      </w:r>
    </w:p>
    <w:p>
      <w:r>
        <w:t>a) Calculé selon la méthode mixte d’évaluation, le degré d’invalidité global doit être fixé à 33.84 %. b) En présence d’un préjudice économique inférieur à 40 %, la recourante ne peut pas prétendre à l’octroi d’une rente de l’assurance-invalidité.</w:t>
      </w:r>
    </w:p>
    <w:p>
      <w:r>
        <w:rPr>
          <w:b/>
        </w:rPr>
        <w:t>E. 9</w:t>
      </w:r>
    </w:p>
    <w:p>
      <w:r>
        <w:t>a) Partant, le recours, mal fondé, doit être rejeté et la décision querellée confirmée. b) La procédure de recours en matière de contestation portant sur l’octroi ou le refus de prestations de l’assurance-invalidité devant le tribunal cantonal des assurances est soumise à des frais de justice (art. 69 al. 1bis, première phrase, LAI). En l’espèce, les frais judiciaires, arrêtés à 400 fr., sont imputés à la recourante qui succombe. c) Il n’y a par ailleurs pas lieu d’allouer de dépens, la recourante n’obtenant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