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253 vom 4. März 2021</w:t>
      </w:r>
    </w:p>
    <w:p>
      <w:r>
        <w:t>VD Tribunal cantonal, 2021-03-04, FR</w:t>
      </w:r>
    </w:p>
    <w:p>
      <w:r>
        <w:rPr>
          <w:b/>
        </w:rPr>
        <w:t xml:space="preserve">Quelle: </w:t>
      </w:r>
      <w:r>
        <w:t>https://mcp.opencaselaw.ch/entscheid/vd_findinfo_Arr_t___2021___253</w:t>
      </w:r>
    </w:p>
    <w:p>
      <w:r>
        <w:t>FR: VD_FINDINFO Arrêt / 2021 / 253 du 4 mars 2021</w:t>
      </w:r>
    </w:p>
    <w:p>
      <w:r>
        <w:t>IT: VD_FINDINFO Arrêt / 2021 / 253 del 4 marzo 2021</w:t>
      </w:r>
    </w:p>
    <w:p>
      <w:pPr>
        <w:pStyle w:val="Heading2"/>
      </w:pPr>
      <w:r>
        <w:t>Regeste</w:t>
      </w:r>
    </w:p>
    <w:p>
      <w:r>
        <w:t>ACCIDENT NON PROFESSIONNEL, RECHUTE, ATTEINTE À LA SANTÉ PHYSIQUE, ATTEINTE À LA SANTÉ PSYCHIQUE, CAUSALITÉ ADÉQUATE, CAUSALITÉ NATURELLE, LIBRE APPRÉCIATION DES PREUVES, APPRÉCIATION ANTICIPÉE DES PREUVES, REJET DE LA DEMANDE | 36 al. 1 LAA, 6 al. 1 LAA, 61 let. c LPGA, 11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en premier lieu sur la prise en charge par l’intimée de la rechute annoncée le 13 octobre 2011, singulièrement sur le lien de causalité entre l’accident du 21 septembre 2008 et l’atteinte présentée par la recourante au niveau de son épaule gauche depuis le 7 octobre 2011. b) Les modifications introduites par la nouvelle du 25 septembre 2015, entrée en vigueur le 1 er janvier 2017 et modifiant diverses dispositions de la LAA, ne sont pas applicables au cas d’espèce dans la mesure où le sinistre litigieux est intervenu en 2011 (ch. 1 des dispositions transitoires relatives à cette modification [RO 2016 4388] ; voir aussi ATF 144 V 210 consid. 4.3.1).</w:t>
      </w:r>
    </w:p>
    <w:p>
      <w:r>
        <w:rPr>
          <w:b/>
        </w:rPr>
        <w:t>E. 3</w:t>
      </w:r>
    </w:p>
    <w:p>
      <w:r>
        <w:t>Dans un grief qu’il convient d’examiner en premier lieu, le recourant remet en cause l’impartialité du Dr C.________, invoquant que des mandats d’expertise seraient régulièrement confiés par les assureurs à ce praticien. a)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b) En l’occurrence, le moyen tiré de l’apparence de prévention à l’égard du Dr C.________ est soulevé tardivement. En effet, l’intimée a respecté les droits de participation de la recourante, laquelle n’a donné aucune suite à la correspondance du 3 février 2015 répondant à son interrogation sur la neutralité de l’expert. Il incombait à la recourante de faire valoir ses motifs de récusation sans délai, cas échéant exiger une décision formelle. Par ailleurs,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 TF 9C_355/2014 du 2 décembre 2014 consid. 4.2 et 9C_366/2013 du 2 décembre 2013 consid. 5.3). En l’espèce, nonobstant l’existence de mandats conférés par l’intimée à l’expert, les éléments au dossier, particulièrement l’expertise, ne permettent pas d’inférer l’absence d’indépendance de l’expert.</w:t>
      </w:r>
    </w:p>
    <w:p>
      <w:r>
        <w:rPr>
          <w:b/>
        </w:rPr>
        <w:t>E. 4</w:t>
      </w:r>
    </w:p>
    <w:p>
      <w:r>
        <w:t>a) Aux termes de l’art. 6 al. 1 LAA, si la loi n’en dispose pas autrement, les prestations d’assurance sont allouées en cas d’accident professionnel, d’accident non professionnel et en cas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se soient manifestés qu’après la survenance d’un accident ne suffit pas à établir un rapport de causalité naturelle avec cet événement (raisonnement « post hoc ergo propter hoc » ; cf. ATF 119 V 335 consid. 2b/bb ; cf.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(cf. TF 8C_464/2014 du 17 juillet 2015 consid. 3.2 et 8C_414/2011 du 2 avril 2012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et 125 V 456 consid. 5a ; cf. TF 8C_743/2016 du 18 mai 2017 consid. 3.1). Dans le domaine de l’assurance-accidents obligatoire, cependant, en cas d’atteinte à la santé physique, la causalité adéquate se recoupe largement avec la causalité naturelle, de sorte qu’elle ne joue pratiquement pas de rôle (cf. ATF 138 V 248 consid. 4 et 118 V 286 consid. 3a ; cf.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de verser des prestations que s’il existe un lien de causalité naturelle et adéquate entre les nouvelles plaintes de l’intéressé et l’atteinte à la santé causée à l’époque par l’accident assuré (ATF 121 V 45 consid. 2a p. 47 ; TF 8C_26/2019 du 11 septembre 2019 consid. 3.2).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w:t>
      </w:r>
    </w:p>
    <w:p>
      <w:r>
        <w:rPr>
          <w:b/>
        </w:rPr>
        <w:t>E. 5</w:t>
      </w:r>
    </w:p>
    <w:p>
      <w:r>
        <w:t>Selon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(arrêts 8C_781/2017 du 21 septembre 2018 consid. 5.1, in SVR 2019 UV n° 18 p. 64 ; 8C_657/2017 du 14 mai 2018 consid. 3.2 et les références, in SVR 2018 UV n° 39 p. 141).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p. 181), étant précisé que le fardeau de la preuve de la disparition du lien de causalité appartient à la partie qui invoque la suppression du droit (arrêt 8C_614/2019 du 29 janvier 2020 consid. 6.2, in SVR 2020 UV n° 24 p. 95 et les références citées ; arrêt 8C_401/2019 du 9 juin 2020 consid. 4).</w:t>
      </w:r>
    </w:p>
    <w:p>
      <w:r>
        <w:rPr>
          <w:b/>
        </w:rPr>
        <w:t>E. 6</w:t>
      </w:r>
    </w:p>
    <w:p>
      <w:r>
        <w:t>a) Aux termes de l’art. 6 al. 2 LAA dans sa version en vigueur jusqu’au 31 décembre 2016 (cf. consid. 2b supra), le Conseil fédéral peut inclure dans l’assurance-accidents des lésions corporelles qui sont semblables aux conséquences d’un accident. Faisant usage de cette délégation de compétence, le Conseil fédéral a édicté l’art. 9 al. 2 OLAA, qui a été abrogé au 1 er janvier 2017 (cf. consid. 2b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lite est exhaustive (ATF 139 V 327 consid. 3.1 ; TF 8C_662/2016 du 23 mai 2017 consid. 4.1), comprennent notamment les déchirures de muscles (let. d), les déchirures de tendons (let. f) et les lésions de ligaments (let. g).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129 V 466, 123 V 43 consid. 2b et 116 V 145 consid. 2c ; cf. TF 8C_485/2017 du 20 mars 2018 consid. 3). Il faut qu’un facteur extérieur soit une cause possible de la lésion, au moins à titre partiel, pour qu’une lésion assimilée à un accident soit admise (cf. TF 8C_347/2013 du 18 février 2014 consid. 3.2 et 8C_698/2007 du 27 octobre 2008 consid. 4.2). A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w:t>
      </w:r>
    </w:p>
    <w:p>
      <w:r>
        <w:rPr>
          <w:b/>
        </w:rPr>
        <w:t>E. 6.6</w:t>
      </w:r>
    </w:p>
    <w:p>
      <w:r>
        <w:t>et les références citées). En l’espèce, de tels facteurs ne ressortent pas des pièces au dossier, étant au demeurant relevé que tout lien entre l’administration de médicaments et la décompensation psychotique a été exclu par l’expert Z.Z._________. g) Enfin, il n’y a pas lieu de prendre en considération une incapacité de travail de degré et de durée anormale en lien avec les lésions strictement physiques consécutives à l’accident du 21 septembre 2008, au vu des conclusions de l’expert C.________ relatives à la capacité de travail de la recourante. h) En définitive, aucun des critères dégagés par la jurisprudence pour reconnaître un lien de causalité adéquate entre les troubles psychiques présentés par l’assurée et l’accident concerné n’est réalisé en l’espèce. Partant, c’est à bon droit que l’intimée a nié cette causalité.</w:t>
      </w:r>
    </w:p>
    <w:p>
      <w:r>
        <w:rPr>
          <w:b/>
        </w:rPr>
        <w:t>E. 9</w:t>
      </w:r>
    </w:p>
    <w:p>
      <w:r>
        <w:t>Le litige porte également sur la prise en charge par l’intimée des troubles psychiques de la recourante, singulièrement sur la question de savoir s’ils sont en lien de causalité naturelle et adéquate avec l’accident du 21 septembre 2008. En matière d’atteinte psychique, la jurisprudence admet de laisser ouverte la question du rapport de causalité naturelle dans les cas où ce lien de causalité ne peut de toute façon pas être qualifié d’adéquat (ATF 135 V 465 consid. 5.1). Il ne sera donc pas discuté de la valeur probante des différents rapports médicaux ou d’expertises psychiatriques.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peur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au moins trois critères doivent être cumulés ou l’un d’eux revêtir une intensité particulière pour que le caractère adéquat du lien de causalité puisse être admis (ATF 115 V 133 consid. 6c/aa et bb ; 115 V 403 consid. 5c/aa et bb ; TF 8C_897/2009 du 29 janvier 2010 consid. 4.5 ; U 308/06 du 26 juillet 2007 consid. 4). Dans la pratique, on notera que nombre d’accidents ayant occasionné des lésions de l’épaule ont été classés parmi les accidents de gravité moyenne à la limite inférieure de cette catégorie : • cas d’une glissade, suivie d’une chute de plusieurs mètres, avec réception sur le dos de l’épaule droite, ayant entraîné une déchirure de tendons, in : TF 8C_755/2012 du 23 septembre 2013 consid. 2 ; • cas d’un brusque mouvement pour tenter de retenir la chute d’une pierre d’un poids de 50 kg environ, ayant entraîné une scapula alata , in : TFA [Tribunal fédéral des assurances] U 124/01 du 22 novembre 2001 consid. 3 ; • cas d’une forte contusion de l’épaule ou de l’omoplate par le brusque heurt d’une plaque métallique lors du déchargement d’un camion, in : TFA U 222/99 du 16 février 2000 consid. 5. Certains accidents survenus à une épaule ont en revanche été qualifiés d’accidents de peu de gravité, soit notamment le cas d’une chute sur le pont arrière d’une camionnette, ayant entraîné une contusion de l’épaule, in : TFA U 92/03 du 23 septembre 2003 consid. 3. On ajoutera que, dans les arrêts cités supra sous considérant 9, le Tribunal fédéral a systématiquement nié tout lien de causalité adéquate entre les accidents concernés (à l’origine de lésions de l’épaule) et les troubles psychiques observés subséquemment auprès des personnes assurées.</w:t>
      </w:r>
    </w:p>
    <w:p>
      <w:r>
        <w:rPr>
          <w:b/>
        </w:rPr>
        <w:t>E. 10</w:t>
      </w:r>
    </w:p>
    <w:p>
      <w:r>
        <w:t>Qualifiant l’accident tout au plus de gravité moyenne, à la limite du cas de peu de gravité, l’intimée considère qu’aucun des critères jurisprudentiels n’est réalisé de manière flagrante. La recourante se prévaut quant à elle de « la durée des souffrances endurées, de la méconnaissance d’une solution pour atténuer l’origine du mal et de la prise d’une importante médication ». L’accident du 21 septembre 2008 apparaît relativement banal, au point qu’il aurait été envisageable de le classer à la limite supérieure de la catégorie des accidents de peu de gravité. Cela étant, on se limitera à confirmer la position de l’intimée, selon laquelle l’accident du 21 septembre 2008 est d’une gravité moyenne, à la limite inférieure de cette catégorie. La position de la recourante impose néanmoins l’examen des critères jurisprudentiels précités pour se prononcer sur la causalité adéquate entre ses troubles psychiques et l’accident incriminé. a) S’agissant des circonstances concomitantes particulièrement dramatiques ou du caractère particulièrement impressionnant de l’accident, ce critère peut d’emblée être nié s’agissant d’une banale chute de sa propre hauteur dans un escalier, consécutive à une glissade, n’ayant entraîné aucune prise en charge médicale immédiate. b) Relativement à la gravité des lésions physiques, on observera que la jurisprudence fédérale considère qu’une lésion de l’épaule ne revêt en général pas une gravité particulière (TF 8C_105/2012 du 23 juillet 2012 consid. 5.4 dans le cadre d’une entorse acromio-claviculaire consécutive à une chute à vélo ; TF 8C_755/2012 du 23 septembre 2013 consid. 4.2.2 dans le cadre d’une déchirure de tendons consécutive à une chute en montagne ; TF 8C_304/2010 du 5 janvier 2011 consid. 3.2 dans le cas d’une rupture de la coiffe des rotateurs consécutive à une chute sur une plaque de glace ; cf. également : TFA U 92/03 du 23 septembre 2003 consid. 3). Partant, il convient de nier que le critère de la gravité des lésions physiques soit réalisé en l’espèce. N’est au demeurant avéré directement imputable à l’accident que le diagnostic de contusion. c) Quant à la durée du traitement médical, il y a lieu de prendre en compte uniquement le traitement thérapeutique nécessaire (TFA U 369/05 du 23 novembre 2006 consid. 8.3.1). N’en font pas partie les mesures d’instruction médicale et les simples contrôles chez le médecin (TFA U 393/05 du 27 avril 2006 consid. 8.2.4). En outre, l’aspect temporel n’est pas seul décisif ; sont également à prendre en considération la nature et l’intensité du traitement et si l’on peut attendre une amélioration de l’état de santé de l’assuré (TF 8C_566/2013 du 18 août 2014 consid. 6.2.3 et les références). La prise de médicaments antalgiques et la prescription de traitements par manipulations – même pendant une certaine durée – ne suffisent pas à fonder la réalisation de ce critère (TF 8C_361/2007 du 6 décembre 2007 consid. 5.3 ; TFA U 380/04 du 15 mars 2005 consid. 5.2.4 in : RAMA 2005 n° U 549 p. 239). La jurisprudence a notamment nié la réalisation de ce critère dans le cas d’un assuré dont le traitement médical du membre supérieur accidenté avait consisté en plusieurs opérations chirurgicales et duré dix-huit mois (TF U 37/06 du 22 février 2007 consid. 7.3). On ne saurait considérer en l’espèce que le traitement ait été anormalement long ou que l’assurée ait été astreinte à un traitement particulièrement lourd ou contraignant. Dans les suites immédiates de l’accident, la recourante a essentiellement bénéficié de séances de physiothérapie et de traitements antalgiques, ce qui n’apparaît pas particulièrement pénible, ni anormal au vu des lésions consécutives à l’accident en cause. Quant à l’intervention chirurgicale du 7 février 2012, elle n’est pas en lien de causalité avec l’accident et ne saurait dès lors être prise en compte. d) S’agissant des douleurs physiques alléguées en relation avec l’épaule, leur importance doit être relativisée compte tenu des effets certainement délétères de la problématique psychique. Partant, elles ne sauraient être qualifiées objectivement de graves et propres, selon l’expérience générale de la vie, à entraîner des troubles psychiques. e) La recourante allègue « la méconnaissance d’une solution pour atténuer l’origine du mal ». Elle n’objective cependant pas cette affirmation et aucune pièce au dossier ne rapporte d’éventuelles erreurs dans le traitement médical prescrit. Au demeurant, l’échec d’un traitement ne suffit pas à déduire la commission d’une erreur dans son administration (TF 8C_755/2012 du 23 septembre 2013 consid. 4.2.4). f) Concernant des difficultés apparues en cours de guérison et des complications importantes, la jurisprudence précise que ces éléments ne doivent pas être réalisés cumulativement. La simple durée du traitement médical et des douleurs ne suffit pas. Il faut en revanche des facteurs particuliers qui ont fait obstacle au processus de guérison (TF U 56/07 du 25 janvier 2008 consid.</w:t>
      </w:r>
    </w:p>
    <w:p>
      <w:r>
        <w:rPr>
          <w:b/>
        </w:rPr>
        <w:t>E. 11</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aux mesures d’instruction successivement requises par la recourante, celles-ci n’étant pas de nature à modifier les considérations qui précèdent, les faits pertinents ayant pu être constatés à satisfaction de droit. En conclusion, le recours doit être rejeté et la décision attaquée confirmée. c) La recourante requiert que les frais de l’expertise privée des Drs L.L.__________ et D.D.___________ soient mis à la charge de l’intimée.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Selon la jurisprudence, les frais d’expertise font partie des frais de la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et les arrêts cités). En l’occurrence, le recours est finalement rejeté sans que le rapport d’expertise privée ne se soit avéré indispensable à la résolution du litige. Il n’y a dès lors pas lieu d’en faire supporter les frais à l’intimée. d) Il n’y a pas lieu de percevoir des frais judiciaires, la procédure étant gratuite (art. 61 let. a LPGA dans sa teneur en vigueur jusqu’au 31 décembre 2020, applicable conformément à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