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2021 / 1192 vom 10. Februar 2022</w:t>
      </w:r>
    </w:p>
    <w:p>
      <w:r>
        <w:t>VD Tribunal cantonal, 2022-02-10, FR</w:t>
      </w:r>
    </w:p>
    <w:p>
      <w:r>
        <w:rPr>
          <w:b/>
        </w:rPr>
        <w:t xml:space="preserve">Quelle: </w:t>
      </w:r>
      <w:r>
        <w:t>https://mcp.opencaselaw.ch/entscheid/vd_findinfo_Arr_t___2021___1192</w:t>
      </w:r>
    </w:p>
    <w:p>
      <w:r>
        <w:t>FR: VD_FINDINFO Arrêt / 2021 / 1192 du 10 février 2022</w:t>
      </w:r>
    </w:p>
    <w:p>
      <w:r>
        <w:t>IT: VD_FINDINFO Arrêt / 2021 / 1192 del 10 febbraio 2022</w:t>
      </w:r>
    </w:p>
    <w:p>
      <w:pPr>
        <w:pStyle w:val="Heading2"/>
      </w:pPr>
      <w:r>
        <w:t>Regeste</w:t>
      </w:r>
    </w:p>
    <w:p>
      <w:r>
        <w:t>REJET DE LA DEMANDE, DÉBAT DU TRIBUNAL, ACCIDENTS SUCCESSIFS, ATTEINTE À LA SANTÉ PHYSIQUE, ATTEINTE À LA SANTÉ PSYCHIQUE, ÉTAT DE SANTÉ, MODIFICATION{EN GÉNÉRAL}, SUPPRESSION DE LA PRESTATION D'ASSURANCE | 30 al. 3 Cst., 28 al. 1 LAI, 4 al. 1 LAI, 17 LPGA, 6 LPGA, 7 LPGA, 8 al. 1 LPGA, 88a al. 1 RAI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En définitive, le recours, mal fondé, doit être rejeté, ce qui entraîne la confirmation de la décision litigieuse.</w:t>
      </w:r>
    </w:p>
    <w:p>
      <w:r>
        <w:rPr>
          <w:b/>
        </w:rPr>
        <w:t>E. 11</w:t>
      </w:r>
    </w:p>
    <w:p>
      <w:r>
        <w:t>a) La procédure de recours en matière de contestations portant sur l’octroi ou le refus de prestations de l’assurance-invalidité est soumise à des frais de justice (art. 69 al. 1bis LAI). Il convient de les fixer à 400 fr. et de les mettre à la charge de la partie recourante, vu le sort de ses conclusions. b) Il n’y a pas lieu d’allouer de dépens à la partie recourante, qui n’obtient pas gain de cause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