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780 vom 8. Oktober 2020</w:t>
      </w:r>
    </w:p>
    <w:p>
      <w:r>
        <w:t>VD Tribunal cantonal, 2020-10-08, FR</w:t>
      </w:r>
    </w:p>
    <w:p>
      <w:r>
        <w:rPr>
          <w:b/>
        </w:rPr>
        <w:t xml:space="preserve">Quelle: </w:t>
      </w:r>
      <w:r>
        <w:t>https://mcp.opencaselaw.ch/entscheid/vd_findinfo_Arr_t___2020___780</w:t>
      </w:r>
    </w:p>
    <w:p>
      <w:r>
        <w:t>FR: VD_FINDINFO Arrêt / 2020 / 780 du 8 octobre 2020</w:t>
      </w:r>
    </w:p>
    <w:p>
      <w:r>
        <w:t>IT: VD_FINDINFO Arrêt / 2020 / 780 del 8 ottobre 2020</w:t>
      </w:r>
    </w:p>
    <w:p>
      <w:pPr>
        <w:pStyle w:val="Heading2"/>
      </w:pPr>
      <w:r>
        <w:t>Regeste</w:t>
      </w:r>
    </w:p>
    <w:p>
      <w:r>
        <w:t>DÉCISION DE RENVOI, RESSORTISSANT ÉTRANGER, ANNÉE DE COTISATION, ADMISSION PROVISOIRE | 36 al. 1 LAI, 4 al. 2 LAI, 6 al. 1 LAI, 6 al. 2 LAI, 14 al. 2bis LAVS</w:t>
      </w:r>
    </w:p>
    <w:p>
      <w:pPr>
        <w:pStyle w:val="Heading2"/>
      </w:pPr>
      <w:r>
        <w:t>Erwägungen</w:t>
      </w:r>
    </w:p>
    <w:p>
      <w:r>
        <w:rPr>
          <w:b/>
        </w:rPr>
        <w:t>E. 4</w:t>
      </w:r>
    </w:p>
    <w:p>
      <w:r>
        <w:t>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b) S'agissant du droit à une rente, la survenance de l'invalidité se situe au plus tôt à la date dès laquelle l'assuré a présenté, en moyenne, une incapacité de travail de 40 % au moins pendant une année sans interruption notable (art. 28 al. 1 let. b LAI). c) S’agissant du droit à des mesures de réadaptation d’ordre professionnel, la survenance de l’invalidité se situe au plus tôt à la date dès laquelle elles sont indiquées en raison de l'âge et de l'état de santé de l'assuré (art. 10 al. 2 LAI).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140 V 246 consid. 6.2).</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En l'espèce, il y a lieu de déterminer si la problématique psychiatrique, considérée comme invalidante à 100 %, était non seulement présente à l'arrivée du recourant en Suisse, mais encore la date à partir de laquelle elle est devenue invalidante. L'intimé a retenu que seule l'atteinte d’ordre psychique présentée par l'assuré était invalidante, mais qu’elle était préexistante à son entrée en Suisse. L’OAI s’est fondé sur un avis du SMR du 7 novembre 2018, dans lequel la Dre X.________ expose que ce type d'atteinte grave apparaît généralement au début de l’âge adulte, environ entre 15 et 30 ans, se manifeste par une perte de contact avec la réalité et la personne qui en souffre n'a pas conscience de sa maladie. Il était donc probable que l’assuré ait cette maladie psychique à son arrivée en Suisse. L'assuré soutient pour sa part que ses atteintes tant psychiques que physiques sont devenues invalidantes dans le courant de l'année 2017, au motif qu'il travaillait avant son arrivée en Suisse, qu'à son arrivée il s'était inscrit à l'ORP en tant que demandeur d'emploi à 100 %, qu'il avait réalisé des stages et que les atteintes tant psychiques que physiques dont il souffrait s'étaient aggravées en 2017, le rendant invalide. b) Il ressort du rapport d'entretien de détection précoce du 29 juin 2016 que le recourant a déclaré que ses problèmes étaient apparus à son arrivée en Suisse, en 2013. L'assuré est en effet suivi à la Policlinique T.________ depuis le mois de mars 2013, à la consultation de médecine générale, tandis que son suivi psychiatrique n'a débuté qu'au mois de juillet 2014. A cette date, les diagnostics d'épisode dépressif léger et de trouble de la personnalité de type paranoïaque ont été posés. Dans un rapport du 17 octobre 2016, les médecins psychiatres traitants de l'assuré ont précisé que la date d'apparition des troubles leur était inconnue, mais qu’ils les avaient constatés dès le début du suivi. Dans leurs différents rapports des 27 juin, 17 octobre et 27 septembre 2016, ils ont attesté une capacité de travail dans une activité adaptée, précisant qu'un taux supérieur à 50 % ne semblait pas envisageable. Les psychiatres traitants n'ont toutefois pas précisé la date à partir de laquelle ils considéraient que l'assuré disposait d'une telle capacité, respectivement d'une telle incapacité de travail. Au demeurant, on ne trouve au dossier aucun rapport antérieur au 26 juin 2016 alors même que le suivi psychiatrique a débuté en juillet 2014. La date à laquelle l’atteinte psychiatrique de l’assuré est devenue invalidante ne peut dès lors être déterminée. En l’absence de ces précisions, la Dre X.________, laquelle n'est au demeurant pas spécialiste en psychiatrie, ne pouvait se prononcer en toute connaissance de cause sur le cas de l’assuré. Le recourant, contrairement à ce qu'il soutient, ne saurait tirer aucun argument de son inscription en tant que demandeur d'emploi à 100 % dès le mois de mars 2013. En effet, l'assurance-invalidité et l'assurance-chômage ne sont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(TF 8C_406/2010 du 18 mai 2011 consid. 5.1). Le recourant ne peut donc se prévaloir de son inscription en qualité de demandeur d'emploi pour exciper d’une capacité de travail dans le cadre de l’assurance-invalidité, ce d’autant plus qu'aucune pièce au dossier ne fait état de la reconnaissance de son aptitude au placement et que celle-ci est susceptible d’être réexaminée en faveur des circonstances. Le fait que le recourant ait exercé une activité lucrative ne permet pas davantage d’attester qu’il disposerait d’une pleine capacité de travail et de gain. En effet, s’il soutient avoir participé à une formation de l’EVAM en qualité d’aide de cuisine à 100 %, il précise toutefois que cela était trop difficile pour lui mais qu’il serrait les dents en silence. Selon ses dires, son médecin souhaitait le mettre au repos. Il ressort également du rapport du 6 janvier 2017 de la Fondation [...], en particulier de la rubrique relative aux ressources et aux freins à la réinsertion, que l'assuré avait dû réaliser ses stages à 50 % selon l'avis de ses médecins. En outre, au début de la mesure, l’assuré pensait pouvoir travailler à 50 %, mais souhaitait débuter le processus à un taux plus faible. En fin de compte, l’intéressé a réalisé un stage en entreprise en tant qu’aide de cuisine, du 10 octobre 2016 au 6 janvier 2017, dans le cadre de l’exécution de la mesure d’intervention précoce. Occupé à 50 %, l’employeur a estimé son rendement à 70 %, relevant toutefois la qualité de son travail, sa minutie, son sérieux et sa rigueur. Contrairement à ce qu’allègue le recourant, le rapport de la Fondation [...] ne permet pas de mettre en doute les évaluations de sa capacité de travail effectuées par les médecins. En effet, l’assuré n’était occupé qu’à mi-temps, ce qui correspond à l’évaluation de sa capacité de travail faite par les médecins. Cela étant, on ignore toujours depuis quand l’intéressé est incapable de travailler. On ne connait pas davantage les motifs pour lesquels son médecin, dont on ne connait au demeurant pas l’identité, désirait le mettre au repos durant sa formation d’aide-cuisinier. On ne peut exclure à ce stade que ce soient les atteintes somatiques dont souffrait l’assuré qui le justifiaient. L’instruction s’avère également insuffisante sur ce point, l’OAI n’ayant pas interpellé ce médecin à ce sujet. c) Sur le plan somatique, l’intimé n’a pas motivé les raisons pour lesquelles il ne retenait pas d’atteintes invalidantes, en dépit des nombreuses pathologies présentées par l’assuré. On relève pourtant que tant le Prof. P.________ que le Dr Z.________ ont constaté que les dorso-lombalgies et sciatalgies gauches chroniques ainsi que les cervico-scapulalgies bilatérales fluctuantes avec irradiations C6-C7 gauches étaient incapacitantes. Ces médecins ont estimé que la capacité de travail de l'assuré dans son activité habituelle d'aide-cuisinier était nulle, le Prof.  P.________ précisant à ce propos que l’incapacité durait depuis au moins une année (rapport du 27 novembre 2017 du Prof. P.________ et rapport du</w:t>
      </w:r>
    </w:p>
    <w:p>
      <w:r>
        <w:rPr>
          <w:b/>
        </w:rPr>
        <w:t>E. 10</w:t>
      </w:r>
    </w:p>
    <w:p>
      <w:r>
        <w:t>juillet 2018 du Dr Z.________). Il ressort des rapports de la Dre R.________, médecin traitant, que l’assuré dispose d’une capacité maximale de travail de 50 %, sans que l’on sache toutefois si elle concerne l’activité habituelle ou une activité adaptée. Les rapports de la Dre R.________ ne permettent pas non plus de distinguer si l'assuré est incapable de travailler en raison de ses atteintes somatiques ou psychiques ; en effet, alors qu’elle fait état de limitations fonctionnelles relatives à son état physique, elle précise qu’un taux supérieur à 50 % risquerait de déstabiliser la situation fragile, surtout au plan psychiatrique. On ne sait dès lors pas si l’incapacité de travail trouve sa justification dans l’état de santé physique ou psychique de l’assuré, ou les deux. L’intimé n’a pas davantage instruit cette question, de sorte qu’il y a également lieu de renvoyer la cause pour cette raison. d) Il ressort des considérants qui précèdent que l’instruction menée par l’intimé est incomplète et ne permet pas de se prononcer en connaissance de cause. Il se justifie donc de renvoyer la cause à l'OAI, auquel il appartient au premier chef d’instruire conformément au principe inquisitoire qui régit la procédure dans le domaine des assurances sociales (43 al. 1 LPGA, cf. consid. 5 ci-dessus). Il lui incombera en particulier de recueillir des rapports des médecins traitants pour la période allant du début de leur suivi jusqu'au mois de juin 2016 (date des premiers rapports au dossier), ainsi que des précisions auprès de la Dre R.________ au sujet de la capacité, respectivement l'incapacité de travail qu’elle a constaté dans ses rapports. Il appartiendra ensuite à l’intimé de déterminer si une expertise, à tout le moins psychiatrique voire pluridisciplinaire au vu des nombreuses atteintes somatiques présentées, est nécessaire ou non, avant de rendre une nouvelle décision statuant sur les prétentions du recourant. 7. a) Vu ce qui précède, le recours doit être admis et la décision attaquée annulée, la cause étant renvoyée à l'intimé pour complément d'instruction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Il n’y a pas lieu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