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770 vom 5. Oktober 2020</w:t>
      </w:r>
    </w:p>
    <w:p>
      <w:r>
        <w:t>VD Tribunal cantonal, 2020-10-05, FR</w:t>
      </w:r>
    </w:p>
    <w:p>
      <w:r>
        <w:rPr>
          <w:b/>
        </w:rPr>
        <w:t xml:space="preserve">Quelle: </w:t>
      </w:r>
      <w:r>
        <w:t>https://mcp.opencaselaw.ch/entscheid/vd_findinfo_Arr_t___2020___770</w:t>
      </w:r>
    </w:p>
    <w:p>
      <w:r>
        <w:t>FR: VD_FINDINFO Arrêt / 2020 / 770 du 5 octobre 2020</w:t>
      </w:r>
    </w:p>
    <w:p>
      <w:r>
        <w:t>IT: VD_FINDINFO Arrêt / 2020 / 770 del 5 ottobre 2020</w:t>
      </w:r>
    </w:p>
    <w:p>
      <w:pPr>
        <w:pStyle w:val="Heading2"/>
      </w:pPr>
      <w:r>
        <w:t>Regeste</w:t>
      </w:r>
    </w:p>
    <w:p>
      <w:r>
        <w:t>TROUBLE SOMATOFORME DOULOUREUX, REJET DE LA DEMANDE, ÉTAT STABLE, CAUSALITÉ ADÉQUATE, CAUSALITÉ NATURELLE, LIEN DE CAUSALITÉ, ATTEINTE À LA SANTÉ PSYCHIQUE, ACCIDENT, RENTE D'INVALIDITÉ, INDEMNITÉ POUR ATTEINTE À L'INTÉGRITÉ, FORCE PROBANTE | 10 al. 1 LAA, 18 al. 1 LAA, 19 al. 1 LAA, 24 al. 1 LAA, 25 LAA, 4 LPGA, 36 OLAA</w:t>
      </w:r>
    </w:p>
    <w:p>
      <w:pPr>
        <w:pStyle w:val="Heading2"/>
      </w:pPr>
      <w:r>
        <w:t>Erwägungen</w:t>
      </w:r>
    </w:p>
    <w:p>
      <w:r>
        <w:rPr>
          <w:b/>
        </w:rPr>
        <w:t>E. 30</w:t>
      </w:r>
    </w:p>
    <w:p>
      <w:r>
        <w:t>% l’indemnité pour atteinte à l’intégrité à laquelle le recourant a droit. 10. Dans ces conditions, une expertise apparaît inutile et la requête formulée en ce sens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134 I 140 consid. 5.3 ; 131 I 153 consid. 3 ; 130 II 425 consid. 2). 11. a) Au vu de ce qui précède, le recours doit être rejeté et la décision sur opposition du 19 septembre 2019 confirmée. b)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