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734 vom 5. Oktober 2020</w:t>
      </w:r>
    </w:p>
    <w:p>
      <w:r>
        <w:t>VD Tribunal cantonal, 2020-10-05, FR</w:t>
      </w:r>
    </w:p>
    <w:p>
      <w:r>
        <w:rPr>
          <w:b/>
        </w:rPr>
        <w:t xml:space="preserve">Quelle: </w:t>
      </w:r>
      <w:r>
        <w:t>https://mcp.opencaselaw.ch/entscheid/vd_findinfo_Arr_t___2020___734</w:t>
      </w:r>
    </w:p>
    <w:p>
      <w:r>
        <w:t>FR: VD_FINDINFO Arrêt / 2020 / 734 du 5 octobre 2020</w:t>
      </w:r>
    </w:p>
    <w:p>
      <w:r>
        <w:t>IT: VD_FINDINFO Arrêt / 2020 / 734 del 5 ottobre 2020</w:t>
      </w:r>
    </w:p>
    <w:p>
      <w:pPr>
        <w:pStyle w:val="Heading2"/>
      </w:pPr>
      <w:r>
        <w:t>Regeste</w:t>
      </w:r>
    </w:p>
    <w:p>
      <w:r>
        <w:t>RENTE D'INVALIDITÉ, NOUVELLE DEMANDE, ATTEINTE À LA SANTÉ PHYSIQUE, ÉVALUATION DE L'INCAPACITÉ DE TRAVAIL, RENTE ÉCHELONNÉE | 28 LAI, 17 al. 1 LPGA, 6 LPGA, 7 LPGA, 8 LPGA, 29bis RAI, 87 al. 1 RAI, 87 al. 2 RAI, 88a RAI</w:t>
      </w:r>
    </w:p>
    <w:p>
      <w:pPr>
        <w:pStyle w:val="Heading2"/>
      </w:pPr>
      <w:r>
        <w:t>Erwägungen</w:t>
      </w:r>
    </w:p>
    <w:p>
      <w:r>
        <w:rPr>
          <w:b/>
        </w:rPr>
        <w:t>E. 5</w:t>
      </w:r>
    </w:p>
    <w:p>
      <w:r>
        <w:t>octobre 2020 __________________ Composition :               Mme Durussel , présidente MM. Métral et Piguet, juges Greffier : M.              Germond ***** Cause pendante entre : L.________ , à [...] ( [...]), recourante, et Office de l'assurance-invalidité pour le canton de Vaud , à Vevey, intimé. _______________ Art.</w:t>
      </w:r>
    </w:p>
    <w:p>
      <w:r>
        <w:rPr>
          <w:b/>
        </w:rPr>
        <w:t>E. 6</w:t>
      </w:r>
    </w:p>
    <w:p>
      <w:r>
        <w:t>Le dossier est complet, permettant ainsi à la Cour de statuer en connaissance de cause. Un complément d’instruction apparaît inutile et les requêtes formulées en ce sens par la recourante dans ses écritures – à savoir, son audition personnelle ainsi que la réalisation d'une expertise médicale judiciaire – doivent dès lors être rejetées. Notamment la recourante qui a déjà pu s'exprimer devant l’autorité administrative a également pu le faire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7</w:t>
      </w:r>
    </w:p>
    <w:p>
      <w:r>
        <w:t>a) En définitive bienfondé, le recours doit en conséquence être admis, et la décision attaquée réformée, en ce sens que la recourante a droit à une rente entière d’invalidité du 1 er novembre 2014 au 30 novembre 2016, puis à une rente entière dès le 1 er avril 2018.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Il n’y a pas lieu d’allouer de dépens, la recourante ayant agi sans le concours d’un mandataire (art. 61 let. g LPGA ; ATF 127 V 205 consid. 4b). c) aa)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bb) En l’occurrence, la recourante a requis l’assistance judiciaire après qu’une demande d’avance de frais lui a été réclamée pour la présente procédure. Compte tenu du sort du recours, les frais seront finalement supportés par l’OAI, de sorte que la demande d’assistance judiciaire devient sans objet. Il convient d’observer encore que dans la formule idoine, l’assurée avait coché « c) Assistance d’office d’un avocat » sans toutefois requérir la désignation d’un avocat d’office dans ses courriers. De toute manière les arguments soulevés par la recourante, à savoir la prise en compte d’une capacité de travail réduite, ont été examinés et écartés dès lors qu’ils étaient manifestement mal fondés, de sorte qu’il ne se justifiait pas d’accorder l’assistance d’office d’un mandataire. Dans ces conditions, la demande d’assistance judiciaire pour la procédure de recours est également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