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52 vom 4. Februar 2020</w:t>
      </w:r>
    </w:p>
    <w:p>
      <w:r>
        <w:t>VD Tribunal cantonal, 2020-02-04, FR</w:t>
      </w:r>
    </w:p>
    <w:p>
      <w:r>
        <w:rPr>
          <w:b/>
        </w:rPr>
        <w:t xml:space="preserve">Quelle: </w:t>
      </w:r>
      <w:r>
        <w:t>https://mcp.opencaselaw.ch/entscheid/vd_findinfo_Arr_t___2020___52</w:t>
      </w:r>
    </w:p>
    <w:p>
      <w:r>
        <w:t>FR: VD_FINDINFO Arrêt / 2020 / 52 du 4 février 2020</w:t>
      </w:r>
    </w:p>
    <w:p>
      <w:r>
        <w:t>IT: VD_FINDINFO Arrêt / 2020 / 52 del 4 febbraio 2020</w:t>
      </w:r>
    </w:p>
    <w:p>
      <w:pPr>
        <w:pStyle w:val="Heading2"/>
      </w:pPr>
      <w:r>
        <w:t>Regeste</w:t>
      </w:r>
    </w:p>
    <w:p>
      <w:r>
        <w:t>COMMUNICATION AVEC LE DÉFENSEUR, VISITE, SUPPRESSION{EN GÉNÉRAL}, REJET DE LA DEMANDE, DROIT D'ÊTRE ENTENDU, TÉMOIN | 273 CC, 450 CC, 29 al. 2 Cst.</w:t>
      </w:r>
    </w:p>
    <w:p>
      <w:pPr>
        <w:pStyle w:val="Heading2"/>
      </w:pPr>
      <w:r>
        <w:t>Erwägungen</w:t>
      </w:r>
    </w:p>
    <w:p>
      <w:r>
        <w:rPr>
          <w:b/>
        </w:rPr>
        <w:t>E. 1</w:t>
      </w:r>
    </w:p>
    <w:p>
      <w:r>
        <w:t>Le recours est dirigé contre une décision de la justice de paix suspendant le droit de visite d’un père sur ses enfants mineurs.</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mère des enfants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Singulièrement, le droit d'être entendu comprend le droit pour l'intéressé d'obtenir qu'il soit donné suite à ses offres de preuve pertinentes (ATF 131 I 153 consid. 3 ; ATF 129 II 497 consid. 2.2), présentées en temps utile et dans les formes prescrites. La jurisprudence a aussi déduit du droit d'être entendu un devoir minimum pour l'autorité d'examiner et de traiter les questions pertinentes ; ce devoir est violé lorsque, par inadvertance ou malentendu, le juge ne prend pas en considération des allégués, arguments, preuves et offres de preuve présentés par l'une des parties et importants pour la décision à rendre ; dans ce cas, la partie est en effet placée dans la même situation que si elle n'avait pas eu la possibilité de présenter ses arguments (TF 5A_750 du 4 mars 2016 consid 2.1 et les références citées ; TF 4A_572/2015 du 6 janvier 2016 consid. 4.1).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(TF 5A_265/2015 du 22 septembre 2015 consid 2.2.1 ; ATF 131 I 153 consid. 3 ; ATF 130 II 425 consid. 2.1).</w:t>
      </w:r>
    </w:p>
    <w:p>
      <w:r>
        <w:rPr>
          <w:b/>
        </w:rPr>
        <w:t>E. 2.2.2</w:t>
      </w:r>
    </w:p>
    <w:p>
      <w:r>
        <w:t>Le recourant invoque une violation de son droit d’être entendu. Il reproche aux premiers juges d’avoir refusé d’auditionner D.________ en qualité de témoin. Il fait valoir que cette dernière s’est chargée de son suivi thérapeutique pendant de nombreuses années, qu’elle connaît parfaitement sa situation personnelle et le détail des difficultés qu’il a rencontrées dans l’exercice de son droit de visite et que son audition aurait permis aux magistrats précités d’apprécier avec circonspection les déclarations de la mère et des enfants et de retenir qu’il s’est toujours soucié de A.M.________ et de B.M.________. Il affirme que même s’il n’est pas exempt de tout reproche, il en va de même d’G.________, qui a très régulièrement entravé l’exercice de son droit de visite et s’est progressivement approprié les enfants, les éloignant de leur père pour finalement arriver à une rupture de tout contact. Il invoque un phénomène d’aliénation parentale et de manipulation des enfants. Du point de vue de l’intérêt des enfants, seul déterminant, il s’agit de s’interroger sur la relation de C.M.________ avec A.M.________ et B.M.________, ainsi que sur sa capacité à interagir avec eux et à les préserver. Dans ces circonstances, le suivi thérapeutique dont a bénéficié le père et les éventuelles conclusions de sa thérapeute sur son investissement en faveur de ses enfants sont sans incidence, d’autant que ce suivi s’est terminé en 2014. Il n’est du reste pas contesté que le recourant s’est soucié de ses enfants et qu’il a l’intention d’agir dans leur intérêt. Il lui est reproché de vouloir leur imposer un contact dont ils ne veulent pas, ce qu’ils ont exprimé à plusieurs reprises, et de ne pas tenir compte de leur intérêt à être préservés d’un conflit juridique et de procédures lourdes. De plus, dans son rapport d’évaluation du 26 juillet 2019, le SPJ a indiqué qu’il avait eu des échanges notamment avec l’ORPM, avec une intervenante psychosociale et thérapeute de famille de la fondation As’trame, avec la précédente psychologue de B.M.________ à la consultation des Boréales et avec le docteur P.________, en charge du suivi du recourant depuis 2015. Les premiers juges avaient ainsi une vision globale de la situation familiale, qui tenait compte du point de vue des thérapeutes. Partant, il n’y avait pas lieu de solliciter en sus l’avis de la thérapeute du recourant. Les magistrats précités ont donc correctement procédé à une appréciation anticipée des preuves. On relèvera encore que dans son rapport, le SPJ a mentionné qu’il avait tenté de joindre D.________ à plusieurs reprises, sans succès. La justice de paix a procédé à l’audition des parents des enfants lors de son audience du 7 octobre 2019. Le droit d’être entendu du recourant n’a par conséquent pas été violé et ce grief doit être rejeté.</w:t>
      </w:r>
    </w:p>
    <w:p>
      <w:r>
        <w:rPr>
          <w:b/>
        </w:rPr>
        <w:t>E. 2.3.1</w:t>
      </w:r>
    </w:p>
    <w:p>
      <w:r>
        <w:t>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w:t>
      </w:r>
    </w:p>
    <w:p>
      <w:r>
        <w:rPr>
          <w:b/>
        </w:rPr>
        <w:t>E. 2.3.2</w:t>
      </w:r>
    </w:p>
    <w:p>
      <w:r>
        <w:t>A.M.________ et B.M.________, qui étaient alors âgés de respectivement presque quinze ans et treize ans, n’ont pas été entendus par l’autorité de protection alors qu’ils auraient pu l’être compte tenu de leur âge (cf. TF 5A_354/2015 du 3 août 2015 consid. 3.3). Ils ont toutefois eu l’occasion d’exprimer leur avis auprès du SPJ à maintes reprises, qui a rendu compte. Dans cette mesure, leur droit d’être entendu a été respecté.</w:t>
      </w:r>
    </w:p>
    <w:p>
      <w:r>
        <w:rPr>
          <w:b/>
        </w:rPr>
        <w:t>E. 2.4</w:t>
      </w:r>
    </w:p>
    <w:p>
      <w:r>
        <w:t>La décision entreprise est donc formellement correcte et peut être examinée sur le fond.</w:t>
      </w:r>
    </w:p>
    <w:p>
      <w:r>
        <w:rPr>
          <w:b/>
        </w:rPr>
        <w:t>E. 3</w:t>
      </w:r>
    </w:p>
    <w:p>
      <w:r>
        <w:t>Le recourant s’oppose à la suspension de son droit de visite. Il soutient qu’il n’y a aucune mise en danger concrète du développement de ses enfants. Il déclare qu’il convient d’apprécier avec une grande circonspection et d’importantes réserves le souhait exprimé par A.M.________ et B.M.________ de ne pas le voir, affirmant qu’ils se trouvent à l’évidence dans un conflit de loyauté vis-à-vis de leur mère, dont il est à craindre qu’elle les instrumente et qu’ils soient victimes d’une forme d’aliénation parentale.</w:t>
      </w:r>
    </w:p>
    <w:p>
      <w:r>
        <w:rPr>
          <w:b/>
        </w:rPr>
        <w:t>E. 3.1</w:t>
      </w:r>
    </w:p>
    <w:p>
      <w:r>
        <w:t>; TF 5A_699/2017 précité consid. 5.1 ; Meier/Stettler, op. cit., nn. 1014 ss, pp. 661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La pratique du droit de la famille [FamPra.ch] 2008 p. 172).</w:t>
      </w:r>
    </w:p>
    <w:p>
      <w:r>
        <w:rPr>
          <w:b/>
        </w:rPr>
        <w:t>E. 3.1.1</w:t>
      </w:r>
    </w:p>
    <w:p>
      <w:r>
        <w:t>Selon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5A_334/2018 du 7 août 2018 consid. 3.1 ; TF 5A_184/2017 du 9 juin 2017 consid. 4.1 et références citées ; TF 5A_53/2017 du 23 mars 2017 consid. 5.1 et les références citées ; Meier/Stettler, Droit de la filiation, 6 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5A_334/2018 précité consid. 3.1 ; TF 5A_184/2017 du 9 juin 2017 consid. 4.1 et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précité consid. 3.1 ; TF 5A_699/2017 précité consid. 5.1 ; TF 5A_184/2017 précité consid. 4.1 et les références citées ; ATF 122 III 404 consid. 3c). L’établissement d’un droit de visite surveillé nécessite des indices concrets de mise en danger du bien de l’enfant (Meier/Stettler, op. cit., n. 1015, p. 661). Dès lors, il convient de faire preuve d’une certaine retenue lors du choix de cette mesure (TF 5A_334/2018 précité consid.</w:t>
      </w:r>
    </w:p>
    <w:p>
      <w:r>
        <w:rPr>
          <w:b/>
        </w:rPr>
        <w:t>E. 3.1.2</w:t>
      </w:r>
    </w:p>
    <w:p>
      <w:r>
        <w:t>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 sur le tout, TF 5A_459/2015 du 13 août 2015 consid. 6.2.1, SJ 2016 I 133).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(TF 5A_459/2015 du 13 août 2015 consid. 6.2.1, SJ 2016 I 133 ; ATF 131 III 209 consid. 5). Néanmoins, il demeure que, si un enfant capable de discernement refuse de manière catégorique et répétée, sur le vu de ses propres expériences (ATF 126 III 219 consid. 2b), d'avoir des contacts avec l'un de ses parents, il faut les refuser en raison du bien de l'enfant ; en effet, face à une forte opposition, un contact forcé est incompatible avec le but des relations personnelles ainsi qu'avec les droits de la personnalité de l'enfant (TF 5A_745/2015 du 15 juin 2016 consid. 3.2.2.2 ; TF 5A_459/2015 du 13 août 2015 consid. 6.2.1, SJ 2016 I 133 ; TF 5C.250/2005 du 3 janvier 2006 consid. 3.2.1, publié in FamPra.ch 2006 p. 751).</w:t>
      </w:r>
    </w:p>
    <w:p>
      <w:r>
        <w:rPr>
          <w:b/>
        </w:rPr>
        <w:t>E. 3.2</w:t>
      </w:r>
    </w:p>
    <w:p>
      <w:r>
        <w:t>En l’espèce, il ressort du dossier que les parents de A.M.________ et de B.M.________ se sont séparés en 2007 et que depuis lors, plusieurs évaluations et suivis se sont succédé, ainsi que de nombreuses procédures. Dans son rapport d’évaluation du 26 juillet 2019, le SPJ a déclaré que les enfants avaient été sollicités par de nombreux professionnels, qu’ils étaient fatigués et qu’ils avaient besoin d’être tranquilles. Il a ajouté que ces derniers avaient évoqué beaucoup de promesses non tenues de la part de leur père et exprimé la volonté de garder leur distance, expliquant vouloir conserver une estime et une image positive de celui-ci. Il a indiqué que, se prêtant volontairement à l’exercice du blason sur leur relation au père, A.M.________ avait choisi la devise « plus jamais », tandis que B.M.________ avait inscrit « loin des yeux loin du cœur ». Lors de son audition du 7 octobre 2019, V.________ a confirmé que les enfants ne voulaient pas de contact avec leur père, mentionnant que A.M.________ avait expliqué préférer qu’il parte pour pouvoir souffler un peu, tandis que B.M.________ avait évoqué vouloir garder l’image qu’il avait de lui précédemment. Elle a relevé que cette énième procédure en cours avait péjoré la situation et que les enfants en avaient assez. Il est possible que chacun des parents porte une part de responsabilité dans la rupture du lien entre le recourant et ses enfants, d’autant que ces derniers passent la majeure partie du temps avec leur mère. Cela demeure toutefois sans incidence dès lors que A.M.________ et B.M.________, qui sont adolescents, ont exprimé de manière très claire et répétée leur volonté d’être tranquilles, et par conséquent épargnés de toute investigation supplémentaire, ainsi que de ne pas avoir de contact avec leur père pour l’instant. Partant, afin de sauvegarder leurs intérêts, qui priment sur celui de C.M.________, et de respecter leur choix, il y a lieu de refuser au recourant un droit aux relations personnelles avec ses enfants. Par ailleurs, il paraît utopique de fixer le droit de visite du recourant en Suisse dès lors que son départ pour l’[...] est imminent et que l’on ne sait rien de ses possibilités futures d’effectuer de courts séjours dans notre pays compte tenu de son expulsion. Il est tout aussi prématuré de fixer des relations personnelles à l’[...] sans connaître les conditions d’accueil qui pourraient être offertes aux enfants et sans possibilité d’évaluer les risques liés à un tel déplacement. En revanche, des contacts par skype devraient pouvoir avoir lieu sans encombre et sans qu’une décision judiciaire à cet égard ne soit nécessaire, les enfants, âgés de respectivement treize et quinze ans, disposant assurément d’un accès à internet à cette fin. Par ailleurs, un suivi AEMO étant initié, la mère devrait retrouver plus de sérénité dans l’accompagnement de ses enfants, y compris entendre leur souhait, cas échéant, lorsqu’ils auront envie de prendre contact avec leur père.</w:t>
      </w:r>
    </w:p>
    <w:p>
      <w:r>
        <w:rPr>
          <w:b/>
        </w:rPr>
        <w:t>E. 4.1</w:t>
      </w:r>
    </w:p>
    <w:p>
      <w:r>
        <w:t>En conclusion, le recours de C.M.________ doit être rejeté et la décision entreprise confirmée.</w:t>
      </w:r>
    </w:p>
    <w:p>
      <w:r>
        <w:rPr>
          <w:b/>
        </w:rPr>
        <w:t>E. 4.2</w:t>
      </w:r>
    </w:p>
    <w:p>
      <w:r>
        <w:t>Vu l’issue du litige et l’octroi de l’assistance judiciaire au recourant, les frais judiciaires de deuxième instance, arrêtés à 600 fr. (art. 74a al. 1 TFJC [Tarif du 28 septembre 2010 des frais judiciaires civils ; BLV 270.11.5]), sont provisoirement laissés à la charge de l’Etat (art. 107 al. 2 CPC, applicable par renvoi de l’art. 450f CC ; Tappy, Commentaire romand, Code de procédure civile, Bâle 2019, 2 e éd., n. 33 ad art. 107 CPC, p. 495).</w:t>
      </w:r>
    </w:p>
    <w:p>
      <w:r>
        <w:rPr>
          <w:b/>
        </w:rPr>
        <w:t>E. 4.3</w:t>
      </w:r>
    </w:p>
    <w:p>
      <w:r>
        <w:t>C.M.________ a été mis au bénéfice de l’assistance judiciaire par ordonnance du 6 décembre 2019. Dans sa liste des opérations du 7 janvier 2020, Me Laurent Rouiller indique avoir consacré</w:t>
      </w:r>
    </w:p>
    <w:p>
      <w:r>
        <w:rPr>
          <w:b/>
        </w:rPr>
        <w:t>E. 5</w:t>
      </w:r>
    </w:p>
    <w:p>
      <w:r>
        <w:t>heures et 55 minutes à l’exécution de son mandat, qui peuvent être admises. Il s’ensuit qu’au tarif horaire de 180 fr. hors TVA (art. 2 al. 1 let. a RAJ [Règlement du 7 décembre 2010 sur l’assistance judiciaire en matière civile ; BLV 211.02.3]), ses honoraires sont arrêtés à 1’065 fr. (5h55 x 180 fr.), auxquels il convient d’ajouter la TVA à 7.7%, par 82 fr., soit un total de 1'147 francs. L’avocat réclame des débours forfaitaires à hauteur de 2%, soit une somme de 21 fr. 30, qui peut lui être allouée et à laquelle il convient d’ajouter la TVA à 7,7% (art. 2 al. 3 RAJ), par 1 fr. 65. En définitive, l’indemnité d'office de Me Laurent Rouiller doit être arrêtée à 1'169 fr. 95 (1’065 fr. + 82 fr. + 21 fr. 30 + 1 fr. 65), montant arrondi à 1'170 fr., TVA et débours compris. Le bénéficiaire de l’assistance judiciaire est, dans la mesure de l’art. 123 CPC, tenu au remboursement des frais judiciaires et de l’indemnité de son conseil d’office mis à la charge de l’Etat. Par ces motifs, la Chambre des curatelles du Tribunal cantonal, statuant à huis clos, prononce : I. Le recours est rejeté. II. La décision est confirmée. III. Les frais judiciaires de deuxième instance, arrêtés à 600 fr. (six cents francs), sont provisoirement laissés à la charge de l’Etat. IV. L’indemnité d’office de Me Laurent Rouiller, conseil d’office du recourant C.M.________, est arrêtée à 1'170 fr. (mille cent septante francs), TVA et débours compris. V. Le bénéficiaire de l'assistance judiciaire est, dans la mesure de l'art. 123 CPC, tenu au remboursement des frais judiciaires et de l’indemnité au conseil d’office mis à la charge de l'Etat. VI. L’arrêt est exécutoire. Le président :              La greffière : Du L'arrêt qui précède, dont la rédaction a été approuvée à huis clos, est notifié à : ‑ Me Laurent Rouiller (pour C.M.________), ‑ Mme G.________, ‑ M. C.________, assistant social auprès du Service des curatelles et tutelles professionnelles, et communiqué à : ‑ Mme la Juge de paix du district de la Broye-Vully, ‑ Mme V.________, assistante sociale auprès du Service de protection de la jeunesse,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