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503 vom 15. Juli 2020</w:t>
      </w:r>
    </w:p>
    <w:p>
      <w:r>
        <w:t>VD Tribunal cantonal, 2020-07-15, FR</w:t>
      </w:r>
    </w:p>
    <w:p>
      <w:r>
        <w:rPr>
          <w:b/>
        </w:rPr>
        <w:t xml:space="preserve">Quelle: </w:t>
      </w:r>
      <w:r>
        <w:t>https://mcp.opencaselaw.ch/entscheid/vd_findinfo_Arr_t___2020___503</w:t>
      </w:r>
    </w:p>
    <w:p>
      <w:r>
        <w:t>FR: VD_FINDINFO Arrêt / 2020 / 503 du 15 juillet 2020</w:t>
      </w:r>
    </w:p>
    <w:p>
      <w:r>
        <w:t>IT: VD_FINDINFO Arrêt / 2020 / 503 del 15 luglio 2020</w:t>
      </w:r>
    </w:p>
    <w:p>
      <w:pPr>
        <w:pStyle w:val="Heading2"/>
      </w:pPr>
      <w:r>
        <w:t>Regeste</w:t>
      </w:r>
    </w:p>
    <w:p>
      <w:r>
        <w:t>RENTE D'INVALIDITÉ, FORCE PROBANTE, COMPARAISON DES REVENUS | 28 LAI, 16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une rente de l’assurance-invalidité et à des mesures professionnelles, singulièrement le degré d’invalidité à la base de ces prestations.</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8C_580/2019 du 6 avril 2020 consid. 4.1).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5</w:t>
      </w:r>
    </w:p>
    <w:p>
      <w:r>
        <w:t>a) En l’espèce, l’intimé retient que la recourante présente une capacité de travail de 60 % dans l’activité habituelle d’auxiliaire de santé et de 80 % dans une activité adaptée à ses limitations fonctionnelles, ce que l’intéressée conteste. b) aa) S’agissant des troubles ostéo-articulaires dont souffre la recourante, les conclusions de l’expertise bidisciplinaire réalisée auprès du centre J.________ sont convaincantes. Les experts admettent que l’intéressée pouvait poursuivre son travail d’auxiliaire de vie à condition d’éviter les positions prolongées accroupie ou agenouillée et le port de charge de plus de 10 kg pour éviter d’exacerber les lombalgies. En revanche, les symptômes décrits étaient manifestement exagérés avec une autolimitation. Sur le plan rhumatologique, les experts admettent une diminution de 20 % de la capacité de travail dans l’activité habituelle du fait que celle-ci ne correspond pas tout à fait au profil d’effort de la recourante (personnes lourdes et invalides, toilette complète). Les conclusions des experts ne divergent pas des autres rapports médicaux au dossier, ce qui reflète une stabilité des troubles ostéo-articulaires depuis le début de l’instruction menée par l’intimé. Dans ses rapports des 6 août et 3 novembre 2014, le Dr D.________ estimait la capacité de travail à 50 % dans l’activité habituelle en raison des difficultés à monter et descendre les escaliers, à porter des charges lourdes, à se baisser et à effectuer les soins et les toilettes des résidents de l’EMS où elle travaillait. Le médecin-conseil de C.________ AG, le Dr  F.________ a initialement tiré les mêmes conclusions dans son rapport du 8 septembre 2014. Une année plus tard, le Dr D.________ a confirmé son estimation de la capacité de travail de l’intéressée après l’examen de cette dernière par un spécialiste en chirurgie orthopédique et traumatologie de l’appareil locomoteur. Nouvellement consultée par la recourante, la Dre H.________ a estimé le 6 septembre 2016 que celle-ci présentait une capacité de travail de 50 % dans l’activité habituelle, indiquant que sa patiente avait des difficultés à se baisser et n’était plus en mesure de porter des charges supérieures à 5 kg, de travailler en position accroupie et à genoux et de monter des escaliers. Quant au Dr I.________, il a estimé que, dans un poste de travail adapté, sa patiente pourrait progressivement augmenter son taux d’activité de 50 % à 80 % (rapport du 3 octobre 2016). Les conclusions des experts s’agissant de la capacité de travail sur le plan rhumatologique sont donc comparables à celles des médecins ayant suivi la recourante. Le rapport du 30 août 2019 de la Dre  H.________, produit dans le cadre de la présente procédure, ne montre pas d’évolution depuis l’IRM de 2015 sur laquelle les experts se sont appuyés dans le cadre de leur rapport. Quant à l’aspect clinique, l’évaluation de la généraliste traitante n’est pas propre à jeter un doute sur les constatations objectives des experts qui décrivent une incohérence entre les plaintes exprimées par la recourante et les observations faites en entretien (absence de comportement algique notable). Il convient de rappeler que tant la Dre E.________ (rapport du 16 avril 2014) que le Dr D.________ (rapport du 6 août 2014) avaient déjà relevé des discordances entre les plaintes de leur patiente et les atteintes à la santé visibles sur l’IRM. Le rapport du 30 août 2019 a au demeurant confirmé que la recourante continuait de travailler à 60 % dans une activité qui n’était pas adaptée de l’avis du SMR (cf. avis du 30 septembre 2019), ce que l’intéressée a implicitement confirmé dans ses écritures en indiquant être à la recherche d’une activité plus légère. bb) S’agissant du surpoids, les experts ont relevé que celui-ci n’avait pas de répercussion quant à la capacité de travail, ce qui peut être confirmé en vue de la reprise d’une activité légère adaptée. La mise en place d’un by-pass comme indiqué par la Dre H.________ (rapport du 30 août 2019) apparaît propre à améliorer l’état de santé de la recourante sur ce plan. Au demeurant, l’opération en question et la convalescence en découlant n’entraîneront pas d’incapacité de travail durable, de sorte qu’aucune investigation supplémentaire sur ce point ne se justifie. cc) Aucun élément au dossier n’atteste des malaises allégués par la recourante dans sa réplique du 5 août 2019. Du reste, les médecins traitants successifs n’ont pas prescrit de consultation spécialisée en neurologie et cette question n’est pas abordée dans le cadre de la polysomnographie (rapport du 22 mai 2018). Faute de substrat organique, il n’y a pas lieu de compléter l’instruction sur ce plan. dd) Enfin, le rapport du 22 mai 2018 des Drs M.________ et N.________ ne met pas en évidence de limitations fonctionnelles dans le domaine de spécialité de ces médecins. dd) En définitive et sur le plan somatique, la recourante n’a mis en évidence aucun élément qui aurait été ignoré ou mal apprécié par les experts. c) Sur le plan psychique, le Dr D.________ a évoqué une atteinte à la santé dans son rapport du 22 septembre 2015 (état anxio-dépressif). A sa suite, le Dr I.________ a estimé qu’une expertise psychiatrique se justifiait. Reste qu’avant l’examen par le Dr JA.________, aucune pièce au dossier n’atteste de consultation chez un psychologue ou un psychiatre. Il n’y a pas lieu de s’écarter du contenu et des conclusions de l’expertise du centre J.________ en ce qui concerne l’aspect psychiatrique. Celle-ci remplit toutes les exigences formelles auxquelles la jurisprudence soumet la valeur probante d’un tel document. Les conclusions rendues résultent d’une analyse fine et complète de la situation médicale, tant objective que subjective. Elles reposent sur une anamnèse complète, contenant notamment une description précise et exhaustive du status psychiatrique de la recourante et de son quotidien. Le tableau dépressif dressé par le Dr JA.________ est conforme aux critères de la CIM-10. L’appréciation du cas est développée à satisfaction et se révèle convaincante. Les experts exposent de manière circonstanciée les répercussions de la pathologie retenue sur la capacité de travail de l’intéressée. Les indicateurs pertinents montrent que l’atteinte à la santé psychique est réelle. Ainsi, l’expert décrit une fatigabilité accrue, justifiant une diminution de rendement dans toute activité. Il a observé à cet égard que les somaticiens consultés avaient également identifié cette problématique, sans toutefois recommander de consultation psychiatrique. Il a identifié un appauvrissement du réseau social et, sur le plan de la personnalité, d’importantes difficultés à gérer son image de femme, qualifiée d’image meurtrie. Même si la recourante a déclaré à l’expert être prête à suivre un traitement, ce dernier a décrit une résistance subjective à un traitement psychiatrique, mise sur le compte de préjugés culturels à l’égard de cette spécialité. Au surplus, rien au dossier ne permet de mettre en doute les conclusions prises par les experts, la recourante mettant son incapacité de travail sur le compte de la seule problématique ostéo-articulaire. Aussi convient-il de confirmer la diminution de rendement de 20 % en raison de l’épisode dépressif moyen avec syndrome somatique . d) En conclusion, la recourante présente une capacité de travail de 60 % dans l’activité habituelle et de 80 % dans une activité adaptée à ses limitations fonctionnelles (activité légère, sédentaire ou semi-sédentaire principalement en position assise, permettant l’alternance des positions, sans manipulations de charges de plus de 7 à 10 kg, sans déplacement en terrain irrégulier, sans travail en hauteur ou sur échelle, sans travail à genou et/ou en station accroupie, sans position du tronc tenue en porte-à-faux, sans flexions-rotations répétées du tronc, activité en milieu tempéré, à heures fixes et répartie sur 5 jours ouvrables) du fait d’une diminution de rendement de 20 % en raison de l’épisode dépressif moyen avec syndrome somatique (rapport J.________ du 7 novembre 2018 ; rapport SMR du 13 décembre 2018). Les critiques émises par la recourante dans le cadre de la procédure ne permettent pas, faute d’être étayées par des éléments concrets et objectifs, de remettre en cause les constatations des experts et du SMR. Il n’y a ainsi pas lieu de s’écarter de leurs conclusions convaincantes, lesquelles remplissent les exigences posées par la jurisprudence en matière de valeur probante.</w:t>
      </w:r>
    </w:p>
    <w:p>
      <w:r>
        <w:rPr>
          <w:b/>
        </w:rPr>
        <w:t>E. 6</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bb)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(OFS) dans l’Enquête suisse sur la structure des salaires (ESS ; ATF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rPr>
          <w:b/>
        </w:rPr>
        <w:t>E. 7</w:t>
      </w:r>
    </w:p>
    <w:p>
      <w:r>
        <w:t>a) Au stade de sa décision du 9 mai 2019, l’intimé s’est référé au rapport REA du 6 mars 2019 pour évaluer le degré d’invalidité. Il a retenu que la recourante présentait une capacité de travail de 60 % dans l’activité habituelle d’auxiliaire de santé en EMS et de 80 % dans une activité légère, sédentaire ou semi-sédentaire, principalement en position assise, adaptée aux limitations fonctionnelles (alternance des positions, pas de port de charges de plus de 7 à 10 kg, pas de déplacement en terrain irrégulier, pas de travail en hauteur ou sur échelle, pas de travail à genou et/ou en station accroupie, pas de position du tronc tenue en porte à faux, pas de flexion-rotation répétée du tronc, activité en milieu tempéré, à heures fixes et répartie sur 5 jours ouvrables). Considérant que l’activité d’auxiliaire de santé au CMS était adaptée, l’intimé a calculé le degré d’invalidité pour 2015, année de l’ouverture du droit à la rente. Il a retenu un revenu sans invalidité de 51'816 fr. 44 (salaire à un taux de 100 % réalisé auprès du dernier employeur) et un revenu d’invalide de 43'811 fr. 84 (revenu réalisé auprès du CMS [...] dès le 1 er septembre 2017, rapporté à 2015 et à un taux d’activité de 80 %). Il a retenu un préjudice économique de 8'004 fr. 60, soit un degré d’invalidité de 15,44 %. Ce résultat, vérifié d’office, n’ouvrait ni le droit à la rente ni de droit aux mesures professionnelles. b) Dans ses déterminations du 4 novembre 2019, l’intimé a revu sa position en considérant que le travail d’aide-soignante dans un CMS n’était pas plus léger que celui effectué en EMS (cf. calcul REA du 30 octobre 2019). Cela peut être confirmé dans la mesure où la recourante admet elle-même que l’activité au CMS est trop lourde. Dès lors, l’intimé s’est, à juste titre, référé à l’ESS pour définir le revenu d’invalide (cf. calcul REA du 30 octobre 2019). Dans le cas présent, le salaire de référence pour des femmes exerçant des tâches physiques ou manuelles simples dans le secteur privé (production et services), était, en 2016, de 4'363 fr. par mois, part au treizième salaire comprise (ESS 2016, tableau TA1_skill-level, niveau de compétence 1), soit 44'279 fr. 06 au taux de 80 % après indexation pour 2017 (0,4 %), 2018 (0,5 %) et 2019 (0,5 %) et compte tenu de la durée hebdomadaire de travail de 41,7 heures dans les entreprises en 2019 (cf. tableau Durée normale du travail dans les entreprises selon la division économique et tableau T39 Evolution des salaires nominaux, des prix à la consommation et des salaires réels 2010-2019, tous deux établis par l’OFS). L’office intimé a estimé qu’un abattement sur le revenu d’invalide ne se justifiait pas dès lors que l’estimation de la capacité de travail faite par les experts tenait déjà compte des limitations fonctionnelles, ce qui peut être confirmé. Au demeurant aucun autre facteur spécifique (cf. consid. 6b/dd ci-dessus) ne peut justifier un abattement en l’espèce. d) Sur le vu de ce qui précède, la perte de gain s’élève à 9'302 fr. 04 (53'581 fr. 10 – 44'279 fr. 06) et le degré d’invalidité à 17,36 %. En présence d’un préjudice largement inférieur à 40 %, le droit à la rente n’est pas ouvert (cf. art. 28 al. 2 LAI). Ce degré d’invalidité est également insuffisant pour permettre à la recourante de bénéficier de mesures professionnelles, octroyées en présence d’une diminution de la capacité de gain de 20 % environ (ATF 139 V 399 consid. 5.3).</w:t>
      </w:r>
    </w:p>
    <w:p>
      <w:r>
        <w:rPr>
          <w:b/>
        </w:rPr>
        <w:t>E. 8</w:t>
      </w:r>
    </w:p>
    <w:p>
      <w:r>
        <w:t>a) En définitive,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qui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