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421 vom 14. Mai 2020</w:t>
      </w:r>
    </w:p>
    <w:p>
      <w:r>
        <w:t>VD Tribunal cantonal, 2020-05-14, FR</w:t>
      </w:r>
    </w:p>
    <w:p>
      <w:r>
        <w:rPr>
          <w:b/>
        </w:rPr>
        <w:t xml:space="preserve">Quelle: </w:t>
      </w:r>
      <w:r>
        <w:t>https://mcp.opencaselaw.ch/entscheid/vd_findinfo_Arr_t___2020___421</w:t>
      </w:r>
    </w:p>
    <w:p>
      <w:r>
        <w:t>FR: VD_FINDINFO Arrêt / 2020 / 421 du 14 mai 2020</w:t>
      </w:r>
    </w:p>
    <w:p>
      <w:r>
        <w:t>IT: VD_FINDINFO Arrêt / 2020 / 421 del 14 maggio 2020</w:t>
      </w:r>
    </w:p>
    <w:p>
      <w:pPr>
        <w:pStyle w:val="Heading2"/>
      </w:pPr>
      <w:r>
        <w:t>Regeste</w:t>
      </w:r>
    </w:p>
    <w:p>
      <w:r>
        <w:t>RELATIONS PERSONNELLES, MESURE PROVISIONNELLE, ASSISTANCE JUDICIAIRE, REJET DE LA DEMANDE | 273 CC, 445 CC</w:t>
      </w:r>
    </w:p>
    <w:p>
      <w:pPr>
        <w:pStyle w:val="Heading2"/>
      </w:pPr>
      <w:r>
        <w:t>Erwägungen</w:t>
      </w:r>
    </w:p>
    <w:p>
      <w:r>
        <w:rPr>
          <w:b/>
        </w:rPr>
        <w:t>E. 1.1</w:t>
      </w:r>
    </w:p>
    <w:p>
      <w:r>
        <w:t>Le recours est dirigé contre une ordonnance de mesures provisionnelles de la juge de paix fixant provisoirement les modalités de l’exercice du droit de visite d’un père sur sa fille mineure (art. 273 ss CC).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(Steck, Basler Kommentar, Zivilgesetzbuch I, Art. 1-456 ZGB,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250 CC, p. 2825).</w:t>
      </w:r>
    </w:p>
    <w:p>
      <w:r>
        <w:rPr>
          <w:b/>
        </w:rPr>
        <w:t>E. 1.2</w:t>
      </w:r>
    </w:p>
    <w:p>
      <w:r>
        <w:t>En l’espèce, motivé et interjeté en temps utile par le père de la mineure concernée, partie à la procédure, le présent recours est recevable.</w:t>
      </w:r>
    </w:p>
    <w:p>
      <w:r>
        <w:rPr>
          <w:b/>
        </w:rPr>
        <w:t>E. 2.1</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 CCUR 8 mars 2019/50). Selon la jurisprudence, l’autorité cantonale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5A_388/2018 consid. 4.1).</w:t>
      </w:r>
    </w:p>
    <w:p>
      <w:r>
        <w:rPr>
          <w:b/>
        </w:rPr>
        <w:t>E. 2.2</w:t>
      </w:r>
    </w:p>
    <w:p>
      <w:r>
        <w:t>En l’espèce, il n’y a pas lieu de donner suite aux mesures d’instruction sollicitées par le recourant. B.________ a été entendu par la première juge et la Dre R.________ requise de déposer un rapport complémentaire après l’audience de première instance. Ces éléments sont suffisamment récents. On ne voit pas ce que le Dr [...], consulté par le recourant pour un soutien à la coparentalité à la suite de son engagement pris à l’audience du 17 décembre 2019, pourrait avoir d’utile à rapporter avec si peu de recul : même si le praticien déclarait que le recourant était un père formidable, cela ne suffirait pas à mettre à néant les autres éléments du dossier. Enfin, le fait de réentendre les parties n’aura aucune utilité car il est à prévoir que chacune d’elles réexposera sa version des évènements.</w:t>
      </w:r>
    </w:p>
    <w:p>
      <w:r>
        <w:rPr>
          <w:b/>
        </w:rPr>
        <w:t>E. 3</w:t>
      </w:r>
    </w:p>
    <w:p>
      <w:r>
        <w:t>e éd., Lausanne 2002, nn. 3 et 4 ad art. 492 CPC-VD, p. 763, point de vue qui demeure valable sous l'empire du nouveau droit).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(TF 5A_354/2015 consid. 3.3 ;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 Lorsqu’il y a péril en la demeure, il peut être justifié de ne pas procéder à une audition personnelle, mais de procéder à celle-ci dès que possible (Steinauer/Fountoulakis, Droit des personnes physiques et de la protection de l’adulte, 2014, nn. 1108 et 1116, p. 494 et 498).</w:t>
      </w:r>
    </w:p>
    <w:p>
      <w:r>
        <w:rPr>
          <w:b/>
        </w:rPr>
        <w:t>E. 3.1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En l’occurrence, la juge de paix a indiqué par courrier du 17 mars 2020  qu’elle n’entendait pas reconsidérer sa décision.</w:t>
      </w:r>
    </w:p>
    <w:p>
      <w:r>
        <w:rPr>
          <w:b/>
        </w:rPr>
        <w:t>E. 3.2.1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3.2.2</w:t>
      </w:r>
    </w:p>
    <w:p>
      <w:r>
        <w:t>En l'espèce, l’ordonnance entreprise a été rendue par la juge de paix, autorité de protection du domicile de la mère et de l’enfant, laquelle a fondé sa compétence sur l’art. 5 LVPAE. La juge de paix a procédé à l'audition des parents de l’enfant lors de l’audience du 17 décembre 2019, de sorte que leur droit d'être entendu a été respecté. En revanche, l’enfant A.L.________, âgée de moins de cinq ans, est trop jeune pour être entendue par l’autorité de protection. Ses propos ont par ailleurs été recueillis par divers intervenants et il serait inopportun de multiplier ses auditions. Il s’ensuit que la décision entreprise est formellement correcte et peut être examinée sur le fond.</w:t>
      </w:r>
    </w:p>
    <w:p>
      <w:r>
        <w:rPr>
          <w:b/>
        </w:rPr>
        <w:t>E. 4.1</w:t>
      </w:r>
    </w:p>
    <w:p>
      <w:r>
        <w:t>Invoquant une violation des art. 273 al. 1 et 445 al. 1 CC, le recourant fait valoir que s’il était normal en mars 2019 de restreindre son droit de visite en vertu du principe de précaution dans l’attente d’investigations supplémentaires, les conditions pour maintenir une telle restriction n’étaient désormais plus réunies. Il relève que la mère avait attendu plusieurs mois avant de faire état de ses craintes relatives à des violences, que les comportements inquiétants de l’enfant étaient apparus durant un long séjour au Mexique et que la mère avait déposé sa requête peu après qu’il s’était opposé à ce qu’elle séjourne à nouveau deux mois dans ce pays, ce qui faisait « douter des véritables motifs » de l’intéressée. Il rappelle que la procédure pénale a abouti à un classement. Il observe que, dans leurs rapports, le SPJ et les médecins n’ont pas pu faire le lien entre les troubles de l’enfant et l’exercice du droit de visite. Il émet l’hypothèse que si le Point Rencontre a amélioré la situation, c’est peut-être parce que la mère ne peut plus sans cesse se rendre à l’étranger avec sa fille, qui avait ainsi pu retrouver une certaine stabilité. Il signale que le SPJ s’est interrogé sur l’impact de ces voyages sur les inquiétudes développées par l’enfant.</w:t>
      </w:r>
    </w:p>
    <w:p>
      <w:r>
        <w:rPr>
          <w:b/>
        </w:rPr>
        <w:t>E. 4.2.1</w:t>
      </w:r>
    </w:p>
    <w:p>
      <w:r>
        <w:t>Un parent qui n’a pas la garde de son enfant a un droit réciproque à des relations personnelles avec lui (art. 273 al. 1 CC). Il s’agit d’un droit et d'une obligation réciproque, qui sert avant tout l’intérêt de l’enfant. Les modalités de l’exercice de ce droit sont arrêtées en fonction du bien-être de l’enfant, lequel doit être évalué sur la base des circonstances du cas d’espèce (TF 5A_514/2018 du 20 février 2019 consid. 4.3.1).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(TF 5A_498/2019 du 6 novembre 2019 consid. 4.3). On tiendra compte notamment de l'âge de l'enfant (pré-scolarité ou adolescence par exemple), de son état de santé et de ses loisirs. L’art. 274 al. 2 CC permet au détenteur de l’autorité parentale, ou à l’autorité en cas de conflit, de refuser ou de retirer l’exercice du droit de visite si le bien de l’enfant est mis en péril. La mise en danger concrète du bien de l’enfant est nécessaire non seulement pour justifier un refus ou un retrait du droit aux relations personnelles, mais aussi pour imposer au titulaire de l’obligation de se soumettre à des modalités particulières (droit de visite surveillé par ex.), et pour motiver une suspension du droit limitée dans le temps (par ex. pendant les vacances de l’enfant [Meier/Stettler, Droit de la filiation, 6 e éd., 2019, n. 1003, pp. 651-652]). Il ne suffit pas que l’enfant risque abstraitement de subir une mauvaise influence pour qu'un droit de visite surveillé soit instauré. Il y a danger pour le bien de l’enfant au sens de cette disposition si son développement physique, moral et psychique est menacé par la présence même limitée du parent qui n’a pas l’autorité parentale ou la garde. En cas de limitation des relations personnelles, le principe de proportionnalité doit être respecté (TF 5A_514/2018 du 20 février 2019 consid. 4.3.2). Le droit de visite surveillé tend à mettre efficacement l'enfant hors de danger, à désamorcer des situations de crise, à réduire les craintes et à contribuer à l'amélioration des relations avec l'enfant et entre les parents (Meier/Stettler, op. cit., n. 1019 p. 670, selon lesquels il serait préférable, afin d’éviter toute confusion avec le droit de visite placé sous la surveillance d’un curateur désigné selon l’art. 308 al. 2 CC, d’utiliser l’expression de « droit de visite accompagné » ou de « droit de visite « médiatisé »).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w:t>
      </w:r>
    </w:p>
    <w:p>
      <w:r>
        <w:rPr>
          <w:b/>
        </w:rPr>
        <w:t>E. 4.2.2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CCUR 3 mars 2020/50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p. 903 et les références citées). L'appréciation des circonstances de fait pour fixer le droit aux relations personnelles est une question de droit ; le juge dispose d'un large pouvoir d'appréciation (TF 5A_191/2018 du 7 août 2018 consid. 6.2.2.1).</w:t>
      </w:r>
    </w:p>
    <w:p>
      <w:r>
        <w:rPr>
          <w:b/>
        </w:rPr>
        <w:t>E. 4.3</w:t>
      </w:r>
    </w:p>
    <w:p>
      <w:r>
        <w:t>En l’espèce, la suspicion de mauvais traitements du recourant à l’égard de sa fille n’a pas été confirmée. Aucune trace n’a jamais été observée sur l’enfant alors qu’il est pourtant allégué qu’elle aurait reçu des coups de ceinture. Il est vrai que la mère n’a pas immédiatement dénoncé cette crainte – résultant d’un prétendu aveu du père – et que ce n’est que lorsque l’enfant, qui semblait aller très bien jusqu’à l’été 2018, a présenté des troubles du comportement qu’elle a commencé à s’inquiéter, ce qui est compréhensible. Reste que l’enfant a des comportements qui témoignent de craintes envers son père et d’un sentiment d’insécurité. On en ignore la cause exacte : ils  peuvent être dus à la violence du père ou d’un tiers, aux difficultés de communication entre les parents, aux voyages lointains et fréquents de la mère. Chaque parent se méfie de l’autre. Il n’empêche que les mesures prises, notamment la fixation du droit de visite à Point Rencontre et le suivi médical de l’enfant, ont amélioré la situation sans la régler complètement. De l’avis de la Dre R.________, auquel se rallie le SPJ, l’enfant a encore besoin d’un cadre sécurisant. Dans ces conditions, le maintien de l’exercice provisoire du droit de visite du recourant en présence d’un tiers est nécessaire, que ce soit à Espace Contact ou Trait d’Union dès que possible, ou à l’intérieur de Point Rencontre en attendant qu’une place soit disponible dans l’organisme approprié. La durée de cette mesure est conditionnée par l’état psychologique de l’enfant, lequel devrait rapidement s’améliorer si les parents continuent à collaborer pour le bien de leur fille comme ils s’y sont engagés.</w:t>
      </w:r>
    </w:p>
    <w:p>
      <w:r>
        <w:rPr>
          <w:b/>
        </w:rPr>
        <w:t>E. 5.1</w:t>
      </w:r>
    </w:p>
    <w:p>
      <w:r>
        <w:t>En conclusion, le recours est rejeté et la décision entreprise confirmée.</w:t>
      </w:r>
    </w:p>
    <w:p>
      <w:r>
        <w:rPr>
          <w:b/>
        </w:rPr>
        <w:t>E. 5.2</w:t>
      </w:r>
    </w:p>
    <w:p>
      <w:r>
        <w:t>Les conditions de l’art. 117 CPC n’étant pas réunies au vu de l’issue du recours, la requête d’assistance judiciaire de T.________ doit être rejetée. Les frais judiciaires de deuxième instance, arrêtés à 300 fr. (art. 74a al. 1 TFJC [tarif du 28 septembre 2010 des frais judiciaires civils ; BLV 270.11.5]), doivent être mis à la charge du recourant qui succombe (art. 106 al. 1 CPC, applicable par renvoi de l’art. 450f CC). Par ces motifs, la Chambre des curatelles du Tribunal cantonal, statuant à huis clos, prononce : I. Le recours est rejeté. II. L’ordonnance est confirmée. III. La requête d’assistance judiciaire est rejetée. IV. Les frais judiciaires de deuxième instance, arrêtés à 300 fr. (trois cents francs), sont mis à la charge du recourant T.________. V. L’arrêt est exécutoire. Le président :              La greffière : Du L'arrêt qui précède, dont la rédaction a été approuvée à huis clos, est notifié à : ‑ Me Quentin Beausire (pour T.________), ‑ Me Isabelle Jaques (pour B.L.________), - Fondation Jeunesse et Familles, Point Rencontre Nord, Yverdon-les-Bains, - Service de protection de la jeunesse, ORPM du Nord vaudois, à l’att. de B.________, et communiqué à : ‑ Croix-Rouge vaudoise, Trait d’Union, Lausanne, - Mme la Juge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