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337 vom 24. April 2020</w:t>
      </w:r>
    </w:p>
    <w:p>
      <w:r>
        <w:t>VD Tribunal cantonal, 2020-04-24, FR</w:t>
      </w:r>
    </w:p>
    <w:p>
      <w:r>
        <w:rPr>
          <w:b/>
        </w:rPr>
        <w:t xml:space="preserve">Quelle: </w:t>
      </w:r>
      <w:r>
        <w:t>https://mcp.opencaselaw.ch/entscheid/vd_findinfo_Arr_t___2020___337</w:t>
      </w:r>
    </w:p>
    <w:p>
      <w:r>
        <w:t>FR: VD_FINDINFO Arrêt / 2020 / 337 du 24 avril 2020</w:t>
      </w:r>
    </w:p>
    <w:p>
      <w:r>
        <w:t>IT: VD_FINDINFO Arrêt / 2020 / 337 del 24 aprile 2020</w:t>
      </w:r>
    </w:p>
    <w:p>
      <w:pPr>
        <w:pStyle w:val="Heading2"/>
      </w:pPr>
      <w:r>
        <w:t>Regeste</w:t>
      </w:r>
    </w:p>
    <w:p>
      <w:r>
        <w:t>RESTITUTION{EN GÉNÉRAL}, PÉREMPTION | 25 al. 1 LPGA, 25 al. 2 LPGA</w:t>
      </w:r>
    </w:p>
    <w:p>
      <w:pPr>
        <w:pStyle w:val="Heading2"/>
      </w:pPr>
      <w:r>
        <w:t>Erwägungen</w:t>
      </w:r>
    </w:p>
    <w:p>
      <w:r>
        <w:rPr>
          <w:b/>
        </w:rPr>
        <w:t>E. 24</w:t>
      </w:r>
    </w:p>
    <w:p>
      <w:r>
        <w:t>avril 2020 __________________ Composition :               Mme Berberat , juge unique Greffière :              Mme Chapuisat ***** Cause pendante entre : M.________ , à [...], recourante, représentée par Me Jérôme Bürgisser, avocat à Lausanne, et Caisse S.________ , à Berne, intimée. _______________ Art.</w:t>
      </w:r>
    </w:p>
    <w:p>
      <w:r>
        <w:rPr>
          <w:b/>
        </w:rPr>
        <w:t>E. 25</w:t>
      </w:r>
    </w:p>
    <w:p>
      <w:r>
        <w:t>LPGA, si bien que sa créance en restitution n’était pas périmée. 6. La recourante s’étant acquittée du montant réclamé le 17 mai 2019 afin, selon ses dires, d’éviter des intérêts moratoires, elle conclut au versement d’un intérêt rémunératoire.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(art.</w:t>
      </w:r>
    </w:p>
    <w:p>
      <w:r>
        <w:rPr>
          <w:b/>
        </w:rPr>
        <w:t>E. 26</w:t>
      </w:r>
    </w:p>
    <w:p>
      <w:r>
        <w:t>al. 1, 1re phrase  in fine, LPGA). Toutefois, la disposition précitée n’est pas applicable en l’occurrence dès lors que le législateur n’a pas envisagé le versement d’intérêts (moratoires et rémunératoires) en cas de restitution de prestations indûment versées. Cela ne constitue pas une lacune juridique, qu'il y aurait lieu de combler (TF K 40/05 du 12 janvier 2006 consid. 4.3; Sylvie Pétremand , Commentaire romand, Loi sur la partie générale des assurances sociales, 2018, n. 11 et 29 ad art. 26). Partant, la conclusion de la recourante relative à l'intérêt rémunératoire, pourtant autant qu’elle soit recevable, doit être rejetée. 7. C’est finalement le lieu de constater que la question de l’éventuelle remise du montant réclamé, en application de l’art. 4 OPGA (ordonnance du 11 septembre 2002 sur la partie générale du droit des assurances sociales ; RS 830.11), a été soulevée par la recourante et qu’elle sera examinée dans le cadre d’une décision à intervenir. 8. a) En conclusion, le recours, mal fondé, doit être rejeté et la décision sur opposition litigieuse confirmée. b) Il n’y a pas lieu de percevoir de frais judiciaires, la procédure étant gratuite (art. 61 let. a LPGA), ni d’allouer de dépens, dès lors que la recourante n’obtient pas gain de cause (art. 61 let. g LPGA). Par ces motifs, la juge unique prononce : I. Le recours est rejeté. II. La décision sur opposition rendue le 23 juillet 2019 par la Caisse S.________ est confirmée. III. Il n’est pas perçu de frais judiciaires, ni alloué de dépens. La juge unique :               La greffière : Du L'arrêt qu i précède est notifié à : ‑ Me Jérôme Bürgisser (pour M.________), ‑ Caisse S.________,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 Peuvent être titulaires d’un tel permis les conjoints de nationalité étrangère des membres des missions permanentes et des organisations internationales, ainsi que les enfants célibataires de ces personnes, qui sont entrés en Suisse au titre du regroupement familial avant l'âge de 21 ans, ont accès au marché suisse du travail pourvu qu'ils résident en Suisse et fassent ménage commun avec le titulaire principal.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