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29 vom 29. Januar 2020</w:t>
      </w:r>
    </w:p>
    <w:p>
      <w:r>
        <w:t>VD Tribunal cantonal, 2020-01-29, FR</w:t>
      </w:r>
    </w:p>
    <w:p>
      <w:r>
        <w:rPr>
          <w:b/>
        </w:rPr>
        <w:t xml:space="preserve">Quelle: </w:t>
      </w:r>
      <w:r>
        <w:t>https://mcp.opencaselaw.ch/entscheid/vd_findinfo_Arr_t___2020___29</w:t>
      </w:r>
    </w:p>
    <w:p>
      <w:r>
        <w:t>FR: VD_FINDINFO Arrêt / 2020 / 29 du 29 janvier 2020</w:t>
      </w:r>
    </w:p>
    <w:p>
      <w:r>
        <w:t>IT: VD_FINDINFO Arrêt / 2020 / 29 del 29 gennaio 2020</w:t>
      </w:r>
    </w:p>
    <w:p>
      <w:pPr>
        <w:pStyle w:val="Heading2"/>
      </w:pPr>
      <w:r>
        <w:t>Regeste</w:t>
      </w:r>
    </w:p>
    <w:p>
      <w:r>
        <w:t>DONATION, CURATEUR | 412 CC</w:t>
      </w:r>
    </w:p>
    <w:p>
      <w:pPr>
        <w:pStyle w:val="Heading2"/>
      </w:pPr>
      <w:r>
        <w:t>Erwägungen</w:t>
      </w:r>
    </w:p>
    <w:p>
      <w:r>
        <w:rPr>
          <w:b/>
        </w:rPr>
        <w:t>E. 1.1</w:t>
      </w:r>
    </w:p>
    <w:p>
      <w:r>
        <w:t>Le recours est dirigé contre une décision de la juge de paix refusant aux recourants, en application de l’art. 412 CC, de procéder à une donation au nom et pour le compte de la personne concernée en leur faveur.</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les enfants de la personne concernée qui ont également la qualité de co-curateurs, le présent recours est recevable. Il en va de même des pièces produites en deuxième instance, si tant est qu’elles ne figurent pas déjà au dossier. Le recours étant manifestement mal fondé au vu des considérants qui suivent, l’autorité de protection n’a pas été consultée.</w:t>
      </w:r>
    </w:p>
    <w:p>
      <w:r>
        <w:rPr>
          <w:b/>
        </w:rPr>
        <w:t>E. 2.1</w:t>
      </w:r>
    </w:p>
    <w:p>
      <w:r>
        <w:t>Les recourants reprochent à la juge de paix de ne pas avoir tenu d’audience à la suite de leur requête du 9 juillet 2019.</w:t>
      </w:r>
    </w:p>
    <w:p>
      <w:r>
        <w:rPr>
          <w:b/>
        </w:rPr>
        <w:t>E. 2.2.1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I 187 consid. 2.2). L'art. 447 al. 1 CC garantit à la personne concernée par la mesure de curatelle – non pas au curateur, ni aux autres intéressés – le droit d'être entendue personnellement et oralement par l'autorité de protection de l'adulte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 er février 2016 consid. 3.2.2 ; TF 4A_35/2015 du 12 juin 2015 consid. 2.3 ; ATF 136 III 174 consid. 5.1.2 ; CCUR 3 octobre 2018/181 ; CCUR 11 septembre 2019/162).</w:t>
      </w:r>
    </w:p>
    <w:p>
      <w:r>
        <w:rPr>
          <w:b/>
        </w:rPr>
        <w:t>E. 2.3</w:t>
      </w:r>
    </w:p>
    <w:p>
      <w:r>
        <w:t>Il résulte de la jurisprudence susmentionnée que le curateur n’a pas un droit à être entendu oralement par l’autorité de protection, de sorte que le grief des recourants tombe à faux. Au demeurant, ils ont pu faire valoir leurs moyens dans le cadre de la procédure de recours, si bien qu’en raison du libre pouvoir d’examen en fait et en droit de la Chambre de céans, un éventuel vice serait quoi qu’il en soit réparé et le droit d’être entendu tenu pour respecté.</w:t>
      </w:r>
    </w:p>
    <w:p>
      <w:r>
        <w:rPr>
          <w:b/>
        </w:rPr>
        <w:t>E. 3</w:t>
      </w:r>
    </w:p>
    <w:p>
      <w:r>
        <w:t>e éd., Lausanne 2002, nn. 3 et 4 ad art. 492 CPC-VD [Code de procédure civile vaudois du 14 décembre 1966, aujourd'hui abrogé], p. 763, point de vue qui demeure valable sous l'empire du nouveau droit).</w:t>
      </w:r>
    </w:p>
    <w:p>
      <w:r>
        <w:rPr>
          <w:b/>
        </w:rPr>
        <w:t>E. 3.1</w:t>
      </w:r>
    </w:p>
    <w:p>
      <w:r>
        <w:t>Les recourants reprochent à la première juge de ne pas avoir assez tenu compte des circonstances du cas d’espèce pour déterminer que la libéralité envisagée ne respectait pas la notion de présent d’usage conformément à l’art. 412 al. 1 CC. Ils relèvent à ce propos qu’elle n’a en particulier pas examiné la relation « étroite et heureuse » qu’ils entretiennent avec leur mère, les libéralités importantes auxquelles elle avait consenti dans le passé en leur faveur, ni tenu compte de la fortune conséquente de l’intéressée, du fait que son avenir financier est garanti par ses revenus locatifs ainsi que par son patrimoine immobilier, de l’augmentation de la fortune de leur mère grâce à leur gestion menée avec « sérieux et probité » et de la pratique usuelle et consacrée par la loi consistant en des donations d’un montant maximal de 50'000 fr. par année et par enfant pour limiter l’impôt successoral. Les recourants se plaignent aussi des conséquences de cette décision et soulèvent l’inégalité de traitement qui en découlerait vis-à-vis des familles qui pourraient librement optimiser leur situation fiscale en vue d’une succession. Ils reprochent encore à la première juge de ne pas avoir examiné si une donation d’un montant inférieur était admissible et de ne pas avoir admis leur demande dans la mesure qu’elle jugeait acceptable. Enfin, ils font valoir un arrêt d’irrecevabilité de la Chambre des curatelles du 26 février 2019 (37) qui mentionne que la justice de paix avait autorisé un versement annuel de 12'000 fr. par an à l’enfant unique de la personne concernée en faveur de qui une curatelle de représentation et de gestion au sens de l’art. 394 al. 1 et 395 al. 1 CC avait été instituée.</w:t>
      </w:r>
    </w:p>
    <w:p>
      <w:r>
        <w:rPr>
          <w:b/>
        </w:rPr>
        <w:t>E. 3.2.1.1</w:t>
      </w:r>
    </w:p>
    <w:p>
      <w:r>
        <w:t>En vertu de l’art. 412 al. 1 CC, le curateur ne peut, au nom de la personne concernée, procéder à des cautionnements, créer des fondations, ou effectuer des donations, à l’exception des présents d’usage. Cette limitation du pouvoir du curateur est valable que la personne concernée soit capable ou incapable de discernement et a pour but de mettre la personne sous curatelle à l’abri d’engagements dont l’expérience montre qu’ils ne servent que rarement ses intérêts propres, mais davantage ceux de ses héritiers (Meier, Droit de la protection de l’adulte, Genève/Zurich/Bâle 2016, n. 1063, p. 516 ; Biderbost, Commentaire du droit de la famille [CommFam], Berne 2013, n. 4 ad. art. 412 CC, p. 564). Les affaires pour lesquelles une représentation par le curateur est exclue ne peuvent être validées par un consentement qui serait donné par l’autorité. En particulier, l’art. 416 al. 1 ch. 5 CC – qui impose notamment au curateur le consentement de l’autorité de protection pour acquérir, aliéner ou mettre en gage d’autres biens que les immeubles de la personne concernée si ses actes vont au-delà de l’administration ou de l’exploitation ordinaires – ne saurait être invoqué au titre de consentement donné par l’autorité à des actes qui excèdent l’administration ordinaire, dans le but de contourner les interdictions de l’art. 412 al. 1 CC, telles que des donations importantes. En revanche, dans l’hypothèse prévue par l’art. 416 al. 2 CC, le curateur peut accomplir des actes de cet ordre avec l’accord de la personne concernée, lorsque celle-ci est capable de discernement et que la curatelle ne restreint pas l’exercice des droits civils (Biderbost, CommFam, op. cit., n. 17 ad. art. 416 CC, p. 589).</w:t>
      </w:r>
    </w:p>
    <w:p>
      <w:r>
        <w:rPr>
          <w:b/>
        </w:rPr>
        <w:t>E. 3.2.1.2</w:t>
      </w:r>
    </w:p>
    <w:p>
      <w:r>
        <w:t>La nature et l’étendue des présents d’usage, les conditions patrimoniales de l’intéressé, mais aussi les liens personnels et sociaux qui sont les siens, ses devoirs moraux ainsi que le contexte culturel et social dans lequel il évolue devront être pris en compte pour juger de l’« usage » au sens de l’art. 412 al. 1 CC (Meier, Droit de la protection de l’adulte, loc. cit.). On peut notamment entendre par « présents d’usage » des dons ou des contributions de mécénat correspondant à la pratique passée de la personne concernée ou à sa volonté présumée, l’ampleur desdits « présents » étant plus ou moins importante en fonction de sa situation patrimoniale globale (TF 5A_211/2016 du 19 mai 2016 consid. 7.1, cf. Affolter, Basler Kommentar, op. cit., n. 5 ad art. 412 CC, p. 2516).</w:t>
      </w:r>
    </w:p>
    <w:p>
      <w:r>
        <w:rPr>
          <w:b/>
        </w:rPr>
        <w:t>E. 3.3</w:t>
      </w:r>
    </w:p>
    <w:p>
      <w:r>
        <w:t>En l’espèce, la somme de 100'000 fr. qu’E.K.________ et A.K.________ souhaitent s’octroyer au nom et pour le compte de leur mère ne peut pas être considérée comme un présent d’usage au sens de l’art. 412 al. 1 CC. Tout d’abord et contrairement à ce que soutiennent les recourants, aucune pièce au dossier ne permet de constater qu’une telle libéralité était une pratique usuelle de la personne concernée par le passé ou de retenir une volonté présumée de celle-ci de procéder à cette donnation. Le fait que les recourants entretiennent une relation forte avec leur mère ne change rien à ce constat, pas plus que le fait qu’ils gèrent son patrimoine avec « sérieux et probité » étant donné qu’il s’agit là de l’essence même de la tâche du curateur. Ensuite, s’il est vrai qu’I.K.________ a une fortune immobilière conséquente, il n’en demeure pas moins que ses liquidités ne représentent guère plus que 20 à 30 % de sa fortune totale et, que s’il était consenti à une libéralité de 100'000 fr., cette épargne serait entamée de près d’un quart, ce qui n’est pas anodin. A ce propos, on constate que l’on ignore tout de la manière dont seraient financés des travaux sur ses biens-fonds ou de quelle façon seraient remboursées ses dettes hypothécaires si les établissements bancaires étaient amenés à requérir leur amortissement en raison de l’âge avancé de la personne concernée. Il paraît donc opportun de conserver un certain montant d’épargne afin de pallier de tels risques. Par ailleurs, et même si cet élément ne justifierait pas à lui seul les libéralités requises, les recourants n’ont pas clairement établi que les besoins ordinaires de leur mère étaient suffisamment couverts par ses revenus. Le budget prévisionnel déposé par les co-curateurs en 2016 et l’attestation de la fiduciaire [...] ne permettent pas de corroborer l’allégation des recourants. De plus, contrairement à ce que semblent prétendre les recourants, la LMSD ne leur confère aucun droit d’optimiser leur charge fiscale successorale ; l’art. 16 LMSD prévoit uniquement que l’impôt sur la donation n’est pas perçu sur les donations inférieures à 50'000 francs par enfant dans la ligne directe descendante dans le courant de la même année. On rappellera aux recourants que le but de la curatelle est de sauvegarder les intérêts propres de la personne concerné et non les expectatives successorales de ses héritiers. D’ailleurs, si les co-curateurs estiment que l’épargne de leur protégée n’est pas correctement placée ou pas assez rentable, il ne tient qu’à eux de prévoir un plan d’investissement conformément aux normes émises par l’OGPCT (Ordonnance du 4 juillet 2012 sur la gestion du patrimoine dans le cadre d’une curatelle ou d’une tutelle ; RS 211.223.11). Concernant l’arrêt de la Chambre des curatelles 26 février 2019 mentionné par les recourants, celui-ci ne leur est d’aucune aide dès lors que l’on ignore quelle était la situation financière de la personne concernée dans le cas d’espèce, qu’on peut présumer, au vu de la curatelle instituée en sa faveur, qu’elle avait la capacité de discernement, et qu’il était indiqué qu’elle procédait à ce genre de libéralités depuis des années. Pour le surplus, même s’il sied d’admettre que le présent examen pourrait s’avérer différent si le montant des libéralités requises était plus modeste, il n’appartient pas à la Chambre des curatelles, ni d’ailleurs à l’autorité de protection, d’articuler un quelconque montant en ce sens. Enfin, ni l’autorité de protection, ni l’autorité de recours ne sauraient donner leur consentement à la donation litigieuse par le biais de l’art. 416 al. 1 ch. 5 sans vider l’art. 412 al. 1 CC de sa substance, pas plus que par le biais de l’art. 416 al. 2 CC dès lors qu’I.K.________ n’a plus sa capacité de discernement et qu’elle est privée de ses droits civils.</w:t>
      </w:r>
    </w:p>
    <w:p>
      <w:r>
        <w:rPr>
          <w:b/>
        </w:rPr>
        <w:t>E. 4</w:t>
      </w:r>
    </w:p>
    <w:p>
      <w:r>
        <w:t>Il résulte de ce qui précède que le recours d’E.K.________ et A.K.________ doit être rejeté et la décision entreprise confirmée. Les frais judiciaires de deuxième instance, arrêtés à 1’200 fr. (art. 74a al. 1 TFJC [Tarif du 28 septembre 2010 des frais judiciaires civils ; BLV 270.11.5]), sont mis à la charge des recourants qui succombent, solidairement entre eux (art. 106 al. 1 et 3 CPC, applicable par renvoi des art. 450f CC et 12 LVPAE). Par ces motifs, la Chambre des curatelles du Tribunal cantonal, statuant à huis clos, prononce : I. Le recours est rejeté. II. La décision est confirmée. III. Les frais judiciaires de deuxième instance, arrêtés à 1'200 fr. (mille deux cents francs), sont mis à la charge des recourants, E.K.________ et A.K.________, solidairement entre eux. IV. L'arrêt est exécutoire. Le président :              La greffière : Du L'arrêt qui précède, dont la rédaction a été approuvée à huis clos, est notifié à : ‑ I.K.________, ‑ E.K.________, ‑ A.K.________,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