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281 vom 21. April 2020</w:t>
      </w:r>
    </w:p>
    <w:p>
      <w:r>
        <w:t>VD Tribunal cantonal, 2020-04-21, FR</w:t>
      </w:r>
    </w:p>
    <w:p>
      <w:r>
        <w:rPr>
          <w:b/>
        </w:rPr>
        <w:t xml:space="preserve">Quelle: </w:t>
      </w:r>
      <w:r>
        <w:t>https://mcp.opencaselaw.ch/entscheid/vd_findinfo_Arr_t___2020___281</w:t>
      </w:r>
    </w:p>
    <w:p>
      <w:r>
        <w:t>FR: VD_FINDINFO Arrêt / 2020 / 281 du 21 avril 2020</w:t>
      </w:r>
    </w:p>
    <w:p>
      <w:r>
        <w:t>IT: VD_FINDINFO Arrêt / 2020 / 281 del 21 aprile 2020</w:t>
      </w:r>
    </w:p>
    <w:p>
      <w:pPr>
        <w:pStyle w:val="Heading2"/>
      </w:pPr>
      <w:r>
        <w:t>Regeste</w:t>
      </w:r>
    </w:p>
    <w:p>
      <w:r>
        <w:t>REFUS DE STATUER, REJET DE LA DEMANDE, RADIATION DU RÔLE | 450 CC, 450a al. 2 CC</w:t>
      </w:r>
    </w:p>
    <w:p>
      <w:pPr>
        <w:pStyle w:val="Heading2"/>
      </w:pPr>
      <w:r>
        <w:t>Erwägungen</w:t>
      </w:r>
    </w:p>
    <w:p>
      <w:r>
        <w:rPr>
          <w:b/>
        </w:rPr>
        <w:t>E. 1</w:t>
      </w:r>
    </w:p>
    <w:p>
      <w:r>
        <w:t>M.________, né le [...] 1981, ressortissant espagnol, est arrivé en Suisse en 2005.</w:t>
      </w:r>
    </w:p>
    <w:p>
      <w:r>
        <w:rPr>
          <w:b/>
        </w:rPr>
        <w:t>E. 2</w:t>
      </w:r>
    </w:p>
    <w:p>
      <w:r>
        <w:t>Par décision du 12 mai 2015, la Justice de paix du district de l’Ouest lausannois (ci-après : la justice de paix) a institué en faveur de l’intéressé une curatelle de portée générale au sens de l’art. 398 CC (Code civil suisse du 10 décembre 1907 ; RS 210) et a confié le mandat, dès le 15 septembre 2017, à [...], assistante sociale au sein de l’Office des curatelles et tutelles professionnelles devenu depuis le Service des curatelles et tutelles professionnelles (ci-après : le SCTP).</w:t>
      </w:r>
    </w:p>
    <w:p>
      <w:r>
        <w:rPr>
          <w:b/>
        </w:rPr>
        <w:t>E. 3</w:t>
      </w:r>
    </w:p>
    <w:p>
      <w:r>
        <w:t>Par courrier du 23 janvier 2020 adressé à la Juge de paix du district de l’Ouest lausannois (ci-après : la juge de paix), M.________, faisant référence au dossier [...], s’est plaint du fait de ne pas recevoir d’aide des fonds publics « depuis la naissance de l’enfant qui est log[é] dans [s]on appartement » et à qui il verserait la somme de 140 fr. par semaine. Par courrier du 27 janvier 2020, la juge de paix l’a informé que le dossier auquel il faisait référence avait été rayé du rôle et que la décision lui avait été notifiée le 10 décembre 2019, de sorte que le délai de recours était aujourd’hui échu. Elle a ajouté que si son courrier tendait à ce qu’un nouveau budget soit établi en tenant compte des frais inhérents à l’accueil de son enfant, il était invité à s’adresser à sa curatrice. Le 24 février 2020, [...], cheffe de groupe au sein du SCTP, et [...] ont interpellé la juge de paix concernant l’état de santé psychique de l’intéressé à la suite d’une discussion avec Mme [...], mère de l’enfant précité. Selon celle-ci, il s’alcooliserait, consommerait de la cocaïne, l’insulterait lorsqu’il serait sous l’emprise de substances, parlerait tout seul, aurait de mauvaises fréquentations qu’il ramènerait à domicile et souffrirait de paranoïa. Le SCTP a par ailleurs ajouté que les démarches pour effectuer le test de paternité avaient échoué, la mère ne souhaitant plus qu’il reconnaisse l’enfant. Il a ainsi requis qu’une enquête en placement à des fins d’assistance à l’endroit de l’intéressé soit ouverte. Le même jour, M.________ a demandé à la juge de paix de « revoir » son courrier du 27 janvier 2020 qu’il considérait comme une décision et avec laquelle il n’était pas d’accord. Il a ajouté qu’il souhaitait obtenir un soutien financier lequel avait pour but d’apporter une « aide dans les cas dignes "d’intérêt (sic) » et la reddition d’une décision formelle. A la suite du courrier du SCTP du 24 février 2020, la juge de paix a interpellé, le 2 mars 2020, la Dre [...], médecin déléguée, en vue d’un éventuel placement à des fins d’assistance à l’endroit de l’intéressé. Le même jour, soit le 2 mars 2020, la juge de paix a imparti à M.________ un délai au 10 mars 2020 afin qu’il lui indique si son courrier du 27 février 2020 devait être considéré comme un recours.</w:t>
      </w:r>
    </w:p>
    <w:p>
      <w:r>
        <w:rPr>
          <w:b/>
        </w:rPr>
        <w:t>E. 4</w:t>
      </w:r>
    </w:p>
    <w:p>
      <w:r>
        <w:t>Par courrier du 6 mars 2020 adressé à la juge de paix, l’intéressé s’est contenté de confirmer la teneur de son courrier du 27 février 2020 par lequel il requérait un soutien financier. Le 10 mars 2020, ce courrier, considéré comme un recours, a été transmis à la Chambre de céans. Par courrier du 17 avril 2020, la personne concernée a sollicité « la motivation de la justice de paix ».</w:t>
      </w:r>
    </w:p>
    <w:p>
      <w:r>
        <w:rPr>
          <w:b/>
        </w:rPr>
        <w:t>E. 5.1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de l’adulte dans les trente jours dès la notification de la décision (art. 450b al. 1 CC).</w:t>
      </w:r>
    </w:p>
    <w:p>
      <w:r>
        <w:rPr>
          <w:b/>
        </w:rPr>
        <w:t>E. 5.2</w:t>
      </w:r>
    </w:p>
    <w:p>
      <w:r>
        <w:t>En l’espèce, il convient en premier lieu d’examiner l’existence d’une décision susceptible d’être attaquée par la voie du recours. Dans son courrier du 27 janvier 2020, la juge de paix a informé le recourant que la cause à laquelle il faisait référence avait été rayée du rôle et que le délai de recours était échu. Elle l’a pour le surplus invité à s’adresser à sa curatrice si son courrier tendait à ce qu’un nouveau budget soit établi en tenant compte des frais inhérents à l’accueil de son enfant. Force est de constater qu’il s’agit là seulement d’un renseignement donné à un justiciable sur l’état d’une procédure et non pas d’une décision susceptible d’être attaquée.</w:t>
      </w:r>
    </w:p>
    <w:p>
      <w:r>
        <w:rPr>
          <w:b/>
        </w:rPr>
        <w:t>E. 6</w:t>
      </w:r>
    </w:p>
    <w:p>
      <w:r>
        <w:t>consid. 2.1 ; ATF 134 I 229 consid. 2.3). Ces considérations peuvent être appliquées par analogie au déni de justice dont il est question à l’art. 450a al. 2 CC (CCUR 3 mars 2016/47).</w:t>
      </w:r>
    </w:p>
    <w:p>
      <w:r>
        <w:rPr>
          <w:b/>
        </w:rPr>
        <w:t>E. 6.1</w:t>
      </w:r>
    </w:p>
    <w:p>
      <w:r>
        <w:t>Se pose encore la question d’un éventuel déni de justice de la part du premier juge.</w:t>
      </w:r>
    </w:p>
    <w:p>
      <w:r>
        <w:rPr>
          <w:b/>
        </w:rPr>
        <w:t>E. 6.2</w:t>
      </w:r>
    </w:p>
    <w:p>
      <w:r>
        <w:t>En tout temps (art. 450b al. 3 CC), le déni de justice formel ou le retard injustifié est susceptible du recours de l’art. 450a al. 2 CC devant la Chambre des curatelles (art. 8 LVPAE et 76 al. 2 LOJV). En sa qualité d’autorité de surveillance, la Chambre des curatelles peut enjoindre l’autorité de protection à reconsidérer sa décision dans un cas particulier ou à rendre une décision qu’elle a tardé à prononcer (art. 441 CC, applicable par analogie ; de Luze/Page/Stoudmann, Droit de la famille, Lausanne 2013, n. 3.1 ad art. 440 CC, p. 752 ; Wider, Commentaire du droit de la famille [CommFam], Protection de l’adulte, Berne 2013, nn. 1 ss, spéc., n. 8 ad art. 441 CC, p. 807).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(TF 5A_2015 du 20 novembre 2015 consid. 3.2 ; TF 5A_907/2013 du 12 mai 2014 consid. 2.1 ; TF 5A_230/2013 du 19 juillet 2013 consid. 4.1 ; ATF 135 I</w:t>
      </w:r>
    </w:p>
    <w:p>
      <w:r>
        <w:rPr>
          <w:b/>
        </w:rPr>
        <w:t>E. 6.3</w:t>
      </w:r>
    </w:p>
    <w:p>
      <w:r>
        <w:t>En l’espèce, on ne discerne pas de déni de justice. Le premier juge a en effet répondu à chacun des courriers envoyés par la personne concernée et une procédure est actuellement en cours en vue de son éventuel placement à des fins d’assistance.</w:t>
      </w:r>
    </w:p>
    <w:p>
      <w:r>
        <w:rPr>
          <w:b/>
        </w:rPr>
        <w:t>E. 7</w:t>
      </w:r>
    </w:p>
    <w:p>
      <w:r>
        <w:t>Compte tenu de ce qui précède, le recours doit être rejeté dans la mesure où il est recevable.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L’arrêt, rendu sans frais judiciaires de deuxième instance, est exécutoire. Le président :              La greffière : Du L'arrêt qui précède, dont la rédaction a été approuvée à huis clos, est notifié à : ‑ M. M.________ personnellement, - Mme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