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279 vom 24. Juli 2020</w:t>
      </w:r>
    </w:p>
    <w:p>
      <w:r>
        <w:t>VD Tribunal cantonal, 2020-07-24, FR</w:t>
      </w:r>
    </w:p>
    <w:p>
      <w:r>
        <w:rPr>
          <w:b/>
        </w:rPr>
        <w:t xml:space="preserve">Quelle: </w:t>
      </w:r>
      <w:r>
        <w:t>https://mcp.opencaselaw.ch/entscheid/vd_findinfo_Arr_t___2020___279</w:t>
      </w:r>
    </w:p>
    <w:p>
      <w:r>
        <w:t>FR: VD_FINDINFO Arrêt / 2020 / 279 du 24 juillet 2020</w:t>
      </w:r>
    </w:p>
    <w:p>
      <w:r>
        <w:t>IT: VD_FINDINFO Arrêt / 2020 / 279 del 24 luglio 2020</w:t>
      </w:r>
    </w:p>
    <w:p>
      <w:pPr>
        <w:pStyle w:val="Heading2"/>
      </w:pPr>
      <w:r>
        <w:t>Regeste</w:t>
      </w:r>
    </w:p>
    <w:p>
      <w:r>
        <w:t>CONDITION DU DROIT À LA PRESTATION D'ASSURANCE, RENTE D'INVALIDITÉ, ÉVALUATION DE L'ATTEINTE À LA SANTÉ, ÉVALUATION DE L'INCAPACITÉ DE TRAVAIL, ÉVALUATION DE L'INVALIDITÉ | 28 LAI, 16 LPGA, 6 LPGA, 7 LPGA, 8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Est en l’espèce litigieux le droit du recourant à une rente d’invalidité non limitée dans le temps. Sont contestés par l’assuré l’évaluation de sa capacité de travail et le calcul du degré d’invalidité, soit en particulier les revenus sans et avec invalidité retenus par l’intimé. A titre subsidiaire, le recourant fait valoir le droit à des mesures de reclassement professionnel.</w:t>
      </w:r>
    </w:p>
    <w:p>
      <w:r>
        <w:rPr>
          <w:b/>
        </w:rPr>
        <w:t>E. 3</w:t>
      </w:r>
    </w:p>
    <w:p>
      <w:r>
        <w:t>a) Est réputée invalidité l’incapacité de gain totale ou partielle qui est présumée permanente ou de longue durée, résultant d’une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Une simple appréciation différente d’un état de fait, qui, pour l’essentiel, est demeuré inchangé n’appelle en revanche pas à une révision au sens de l’art. 17 LPGA (ATF 141 V 9 consid. 2.3).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w:t>
      </w:r>
    </w:p>
    <w:p>
      <w:r>
        <w:rPr>
          <w:b/>
        </w:rPr>
        <w:t>E. 4</w:t>
      </w:r>
    </w:p>
    <w:p>
      <w:r>
        <w:t>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w:t>
      </w:r>
    </w:p>
    <w:p>
      <w:r>
        <w:rPr>
          <w:b/>
        </w:rPr>
        <w:t>E. 5</w:t>
      </w:r>
    </w:p>
    <w:p>
      <w:r>
        <w:t>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(TF 8C_746/2011 du 13 mars 2012 consid. 1.2).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 I 562/06 du 25 juillet 2007 consid. 2.1 ; TFA I 274/2005 du 21 mars 2006 consid. 1.2).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rPr>
          <w:b/>
        </w:rPr>
        <w:t>E. 6</w:t>
      </w:r>
    </w:p>
    <w:p>
      <w:r>
        <w:t>a) Sur le plan médical, le recourant conteste l’appréciation médicale de l’OAI en faisant valoir que le manque de mobilité et les douleurs à son poignet gauche l’empêchent d’exercer une quelconque activité professionnelle. Pour sa part, l’intimé estime que l’exercice d’une activité adaptée aux limitations fonctionnelles décrites par la AA .________ dans son rapport du 29 juin 2015 est exigible, le médecin d’arrondissement de la CNA ayant indiqué dans son rapport d’examen final du 3 avril 2017 que sa main gauche était fonctionnelle, même si elle manque de force. b) Dans son rapport d’examen final du 3 avril 2017, le Dr V.________ décrit les circonstances de l’accident dont l’assuré a été victime le 19 juillet 2012 telles que les lui a rapportées l’intéressé. Il rappelle dans le détail les diverses interventions chirurgicales qui ont suivi, à savoir une cure chirurgicale par plastie d’élargissement du 1 er compartiment des extenseurs du poignet gauche pour traitement d’une ténosynovite sténosante (cf. protocole opératoire du 11 décembre 2012, respectivement 30 avril 2013 du Dr F.________), une exérèse chirurgicale d’un kyste arthro-synovial dorsal du poignet gauche le 3 septembre 2013 (cf. rapport du 9 septembre 2013 du Dr F.________), une libération du contenu de la 1 ère coulisse des extenseurs du poignet gauche et une neurolyse des branches superficielles du nerf radial (cf. protocole post-opératoire du 13 mai 2014 du Dr S.________) et une dénervation du nerf interosseux dorsal du poignet gauche le 20 septembre 2016 (cf. protocole opératoire établi le même jour par le Dr C.________). Le Dr V.________ fait part des constatations et des conclusions indiquées dans les rapports du Dr T.________ de la AA .________ à la suite des deux séjours de trois semaines de l’intéressé dans cet établissement, le premier, du 27 novembre au 17 décembre 2013, le second, du 20 mai au 16 juin 2015. Après avoir fait état des plaintes du recourant lors de l’examen clinique du 3 avril 2017, à savoir la persistance de douleurs sur le versant radial du poignet gauche, s’étendant à la base du pouce et au médius, constantes mais nettement aggravées par l’usage de la main, qu’il s’efforce quand même d’intégrer dans les activités quotidiennes, le médecin d’arrondissement expose que l’assuré lui a indiqué qu’il ne suivait plus de traitement, sauf une médication avec de l’Ibuprofène 600, du Dafalgan® et des gouttes de Tramadol® que l’intéressé a admis ne pas prendre pas certains jours. C’est son médecin traitant qui le suit, le Dr L.________. Il consulte toujours un psychiatre mais ne prend pas d’antidépresseurs. Suit l’exposé des constatations du Dr V.________ lors de l’examen clinique, qui se résume à « une limitation fonctionnelle un peu globale du poignet gauche, s’étendant au pouce et très partiellement aux doigts longs dans les suites d’un traumatisme en hyperextension du poignet et du pouce gauche ayant donné lieu à des interventions itératives, sans qu’on parvienne à se convaincre d’une véritable raideur articulaire ou d’un obstacle mécanique clair au libre jeu des tendons ». Il relève à cet  égard que les constatations faites lors de l’intervention du 7 mai 2014, qui n’a retrouvé que des adhérences lâches, lui semblent particulièrement significatives. Ainsi, selon le Dr V.________, qui a préalablement pu constater lors de l’examen que l’assuré parvenait à lacer ses chaussures avec beaucoup d’habileté et de célérité et dont la thymie semble rétablie (par rapport à son examen du 22 octobre 2013), l’ampleur du handicap, au demeurant variable, n’est que partiellement explicable par les constatations médicales objectives. Au final, il indique une évolution finalement assez favorable et une main gauche tout à fait fonctionnelle même si elle manque de force. Il retient comme limitations fonctionnelles celles qui ont été décrites lors du dernier séjour de l’assuré à la AA .________ (cf. rapport du 29 juin 2015) et conclut que l’intéressé a recouvré une pleine capacité de travail dans une activité respectant celles-ci, soit privilégiant le contrôle et la surveillance au travail purement manuel. Les constatations et les conclusions du médecin d’arrondissement de la CNA sont largement corroborées par celles des spécialistes de la AA .________ ainsi que cela ressort du rapport du Dr T.________ du 29 juin 2015. On relèvera en particulier qu’aucun diagnostic orthopédique ni neurologique n’a été retenu. Sur le plan psychique, aucun signe d’une psychopathologie évolutive n’a été constaté, une évolution favorable par rapport au premier séjour étant relevée. Les spécialistes relevaient par ailleurs que l’assuré était centré sur la douleur et se montrait très démonstratif ; sa participation aux thérapies était jugée faible. De même, l’intéressé ne montrait que peu d’entrain pour les tâches demandées lors des ateliers professionnels, son comportement étant marqué par des plaintes dès qu’il devait intégrer son membre supérieur gauche. Ils étaient d’avis que les plaintes et les limitations fonctionnelles exprimées ne s’expliquaient pas principalement par les lésions objectives constatées, des facteurs contextuels et une kinésiophobie étant relevés. Parmi les incohérences mises en avant, ils notaient en particulier une discordance entre ce que l’assuré était capable de faire en-dehors des thérapies et des ateliers et ce qu’il acceptait de faire lors de ceux-ci : ils relevaient par exemple que le recourant se servait facilement de son téléphone portable et nageait par le crawl en piscine. Le même constat était fait en ce qui concerne les examens cliniques. Enfin, ils soulignaient le fait que le recourant n’avait pas donné suite à la proposition qui lui avait été faite en coordination avec l’OAI pour effectuer une mesure d’évaluation de ses capacités professionnelles. Au final, les spécialistes de la AA .________ concluaient en juin 2015 déjà que la situation était stabilisée sur le plan médical et que le recourant avait recouvré une  pleine capacité de travail dans une activité adaptée aux limitations fonctionnelles suivantes : pas de port répétitif de charges lourdes, de travail nécessitant de la force répétitive du membre supérieur gauche ainsi que des mouvements répétitifs avec le poignet surtout en pro supination. Cela étant, force est de reconnaître que le rapport d’examen final du 3 avril 2017 du médecin d’arrondissement de la CNA est en tous points conforme aux exigences de la jurisprudence en la matière. Les rapports médicaux produits par le recourant à l’appui de son recours ne remettent nullement en doute les conclusions ci-dessus rappelées. Les rapports des 26 janvier et 12 février 2018 du Dr Z.________ ne révèlent en effet pas une situation qui n’aurait pas été prise en compte par l’OAI. En substance, ce spécialiste indique que l’assuré ne présente pas de lésion séquellaire d’arthrose et que le problème principal est lié aux douleurs et au manque de mobilité. Il ne recommande pas de nouvelle intervention chirurgicale visant à redonner de la mobilité au poignet gauche. Seul le port d’une attelle la nuit ou en cas de mouvement de force étant indiqué. Ainsi, les observations du Dr Z.________, qui ne se prononce aucunement par ailleurs sur la capacité de travail résiduelle du recourant, ne sont pas en contradiction avec les pièces médicales au dossier, mais tendent plutôt à corroborer le point de vue des Drs V.________ et T.________. Cela étant, il y a lieu de retenir qu’une activité professionnelle adaptée aux limitations fonctionnelles, donc ne sollicitant pas trop son poignet gauche, est exigible. Au demeurant, la Cour de céans relève que malgré plusieurs prolongations de délai accordées au recourant pour produire des pièces médicales nouvelles attestant son point de vue, il n’a au final déposé aucun rapport susceptible de mettre en doute les conclusions bien étayées du rapport d’examen final du Dr V.________ concernant la capacité de travail exigible. Ainsi, dans son rapport du 22 décembre 2017, le Dr J.________ expose, en ce qui concerne la douleur au poignet gauche du recourant que, dès lors qu’il n’y pas d’indication à une nouvelle intervention chirurgicale, il reste toutefois la possibilité d’une neuromodulation. A l’instar de l’intimé, on constate que cette procédure recommandée par le Dr J.________ ne constitue pas une entrave à l’exercice d’une activité professionnelle en accord avec les limitations fonctionnelles tenant compte de la particularité du poignet gauche du recourant. Par ailleurs, le recourant, respectivement le Dr J.________, ne rendent pas vraisemblable que ce traitement serait susceptible d’augmenter, voire de rétablir la capacité de travail du recourant. Comme déjà indiqué ci-dessus, le courrier du Dr Z.________ adressé au médecin traitant du recourant le 26 janvier 2018 indique pour sa part simplement qu’il a proposé à l’intéressé une arthro IRM afin de faire un bilan cartilagineux et ligamentaire précis afin de pouvoir affiner le diagnostic et lui faire des propositions thérapeutiques si celles-ci sont envisageables. Dans un courrier du 12 février adressé au médecin conseil de la CNA, le Dr Z.________ relevait toutefois que l’arthro IRM n’avait pas révélé de lésion séquellaire d’arthrose et que, le problème principal étant lié aux douleurs et au manque de mobilité, il craignait qu’une intervention visant à redonner de la mobilité n’entretienne le recourant dans un secteur de mobilité qui devienne encore plus douloureux. Il en concluait qu’il ne pouvait qu’encourager le recourant à porter une attelle pour le soulager la nuit et en cas mouvement de force. Enfin, le bref courriel adressé le 23 novembre 2018 par le Dr Z.________ à l’associé du conseil du recourant indique seulement que ce médecin n’a pas programmé d’intervention, être dans l’attente d’une réponse de la CNA et devoir revoir le recourant en janvier 2019. Cela étant, on ne saurait déduire des constats et de l’avis du Dr Z.________ une quelconque divergence d’opinion quant à la situation médicale du recourant et en particulier pas en ce qui concerne sa capacité résiduelle de travail. c) Le recourant fait encore valoir que son état de santé s’est péjoré en raison des séquelles d’une intervention chirurgicale à l’épaule droite. Le 20 juin 2019, l’intimé a produit le rapport du Dr C.________ du 21 mai 2019 qui se rapporte aux suites d’une refixation arthroscopique qu’il a effectuée sur le recourant le 1 er octobre 2018. Ce rapport a été soumis par l’OAI au SMR. Dans un avis du 17 juin 2019, le Dr W.________ considère que le courrier du Dr C.________ fait état d’éléments postérieurs à la période qui prévalait jusqu’à la décision litigieuse. Il relève en outre qu’il se rapporte à une autre localisation anatomique soit à une atteinte des muscles permettant la rotation de l’épaule droite. De plus il est noté qu’aucune précision n’est donnée sur le mécanisme à l’origine de l’atteinte ni sur la localisation de la ou des lésion(s) de l’épaule. Selon une jurisprudence constante le juge des assurances sociales apprécie la légalité des décisions attaquées, en règle générale d’après l’état de fait existant au moment où la décision litigieuse a été rendue (cf. ATF 121 V 366 consid. 1b et les arrêts cités). Les faits survenus postérieurement, et qui ont modifié cette situation, comme le prétend le recourant en l’espèce, doivent faire l’objet d’une nouvelle décision administrative (ATF 121 V 366 précité). Ainsi, si cette problématique est susceptible de persister au-delà d’une année et qu’elle est de nature à entraver la capacité de travail et de gain de manière durable, il appartiendra au recourant de déposer une nouvelle demande de prestations auprès de l’OAI. d) Au vu de ce qui précède, il y a lieu de considérer que la capacité de travail du recourant est, depuis le 3 avril 2017, entière dans une activité adaptée aux limitations fonctionnelles décrites dans le rapport de la AA .________ du 29 juin 2015.</w:t>
      </w:r>
    </w:p>
    <w:p>
      <w:r>
        <w:rPr>
          <w:b/>
        </w:rPr>
        <w:t>E. 7</w:t>
      </w:r>
    </w:p>
    <w:p>
      <w:r>
        <w:t>Dans un deuxième grief, le recourant critique le calcul du degré d’invalidité opéré par l’intimé, contestant tant le revenu sans invalidité qu’avec invalidité retenus par l’OAI. a) En ce qui concerne le revenu sans invalidité, l’intimé a indiqué dans sa décision du 25 mai 2018 retenir un revenu de 58'581 fr. 38 sur la base des indications fournies par l’employeur du recourant. Pour sa part, ce dernier fait valoir que, selon le contrat de mission conclu avec R.________, le salaire sans atteinte à la santé s’élèverait à 63'479 fr. 78 (26 fr. 85/heure x 42 x 52), étant donné qu’il bénéficiait d’un 13 ème salaire. Si on se réfère au contrat de mission invoqué par le recourant, on constate que le salaire horaire du recourant se composait comme suit : salaire horaire de base 26 fr. 83, auquel s’ajoutent 2 fr. 31 à titre d’indemnité pour les vacances (8, 33 %), 0 fr. 86 à titre d’indemnité pour les jours fériés (3, 2 %) et 2 fr. 50 (8, 33 %) pour le 13 ème salaire, soit un total de 32 fr. 50 de l’heure. Dans le cas où, comme en l’espèce, le salaire horaire comprend une indemnité pour les vacances et une pour les jours fériés, il convient, conformément à la jurisprudence du Tribunal fédéral en la matière (cf. TF 8C_520/2016 arrêt du 14 août 2017, consid. 4.3.2), de déduire du temps de travail annuel les jours correspondant aux vacances et aux jours fériés avant d’ajouter un supplément de 8, 33 % pour tenir compte du 13 ème salaire. Par conséquent, il y a lieu de calculer le revenu sans invalidité comme suit : 26 fr. 83 (salaire horaire de base) x 42 (heures hebdomadaires) x 52 (horaire annuel) et d’ajouter à ce total 8,33 % à titre de 13 ème salaire. On obtient ainsi un revenu annuel sans invalidité de 63'477 fr. 83 (58'596 fr. 72 + 4'881 fr. 11). Il y a toutefois encore lieu d’indexer le salaire de 2013 à 2017, naissance éventuelle du droit à une rente. Toutefois, a près indexation de ce montant à 2017 (+ 0,7 % en 2014, + 0,3 % en 2015 + 0,6 % en 2016 et + 0,4 % en 2017 [Office fédéral de la statistique OFS, Evolution des salaires nominaux, des prix à la consommation et des salaires réels, 1990-2015)], on aboutit à un revenu mensuel sans invalidité de 5'289 fr. 80. b) En ce qui concerne le revenu d’invalide, il y a lieu de constater que l’intimé s’est conformé à la jurisprudence du Tribunal fédéral en la matière en se fondant sur les données statistiques résultant de l’ESS et en tenant compte de la capacité résiduelle de travail du recourant et de son niveau de compétences, soit le  salaire de référence auquel peuvent prétendre les hommes effectuant des tâches physiques ou manuelles simples dans le secteur privé (production et service) (TA1 ; niveau de compétences 1) avant de l’adapter à la durée hebdomadaire moyenne de travail et à l’évolution des salaires nominaux de 2013 à 2017. Ce calcul ne prête pas le flanc à la critique et doit être confirmé. Ainsi, le revenu avec invalidité s’élève à 67'656 fr. 27, ce qui correspond à un salaire mensuel de 5'638 francs. Il s’ensuit que le revenu avec invalidité (5'638 fr.) est légèrement supérieur à celui sans invalidité (5'289 fr. 80), ce même en procédant à un abattement de 5 %. L’intimé était donc légitimé à ne retenir aucun préjudice économique (art. 16 LPGA). Le degré d’invalidité étant nul, la suppression de la rente d’invalidité trois mois après que la capacité de travail, respectivement de gain du recourant s’est améliorée, soit dès le 1 er août 2017 (art. 88a al. 1 RAI [règlement sur l’assurance invalidité du 17 janvier 1961 ; RS 831.201]), s’avère justifiée. c) Le degré d’invalidité du recourant étant nul, ses conclusions subsidiaires tendant à l’octroi de mesures de reclassement professionnel doivent être rejetées (art. 17 LAI).</w:t>
      </w:r>
    </w:p>
    <w:p>
      <w:r>
        <w:rPr>
          <w:b/>
        </w:rPr>
        <w:t>E. 8</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et 125 I 127 consid. 6c/cc ; TF 8C_660/2015 du 24 février 2016 consid. 4.1). Une telle manière de procéder ne viole pas le droit d'être entendu selon l'art. 29 al. 2 Cst. (SVR 2001 IV n° 10 p. 28 consid. 4b ; ATF 124 V 90 consid. 4b, 122 V 157 consid. 1d, 119 V 335 consid. 3c et 104 V 209 consid. a ; TF 8C_372/2014 du 12 mai 2015 consid. 4.3). b) En l’espèce, le dossier est complet et permet à la Cour de céans de statuer en pleine connaissance de cause. Il n’y a dès lors pas lieu de donner suite à la mesure d'instruction requise par le recourant, à savoir son audition et celles de ses médecins par la Cour de céans. En effet, une telle mesure ne serait pas de nature à modifier les considérations qui précèdent, les faits pertinents ayant pu être constatés à satisfaction de droit. La requête du recourant en ce sens doit ainsi être rejetée.</w:t>
      </w:r>
    </w:p>
    <w:p>
      <w:r>
        <w:rPr>
          <w:b/>
        </w:rPr>
        <w:t>E. 9</w:t>
      </w:r>
    </w:p>
    <w:p>
      <w:r>
        <w:t>a) En définitive,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 bis première phrase LAI). En l'espèce, ils doivent être fixés à 400 fr. et mis à la charge du recourant, qui succombe. N’obtenant pas gain de cause, le recourant n’a pas droit à des dépens (art. 61 let. g LPGA). c)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cantonal du 7 décembre 2010 sur l’assistance judiciaire en matière civile ; BLV 211.02.3). En l’espèce, par décision de la juge instructeur du 29 novembre 2019, le recourant a été mis au bénéfice de l’assistance judiciaire avec effet au 28 juin 2018 et a obtenu à ce titre la commission d’un avocat d’office en la personne de Me Jean-Pierre Wavre. Ce dernier a produit sa liste des opérations le 12 décembre 2019, qui comprend notamment des débours. Il convient toutefois sur ce dernier point d’appliquer le forfait de 5 % du défraiement hors taxe (art. 3bis al. 1 RAJ [règlement cantonal du 7 décembre 2010 sur l’assistance judiciaire en matière civile ; BLV 211.02.3]). Toutefois, les opérations antérieures au 28 juin 2018 (0.25 heure) et celles relatives à la lecture, à l’analyse de l’arrêt et à l’envoi de l’arrêt avec commentaire par anticipation (0.33 et 0.25 heure) doivent être retranchées du total des heures comptabilisées. Au final, compte tenu de la difficulté de la cause et de son ampleur, le montant de l’indemnité de Me Jean-Pierre Wavre est arrêté à 2'200 francs, débours et TVA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