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1037 vom 23. November 2020</w:t>
      </w:r>
    </w:p>
    <w:p>
      <w:r>
        <w:t>VD Tribunal cantonal, 2020-11-23, FR</w:t>
      </w:r>
    </w:p>
    <w:p>
      <w:r>
        <w:rPr>
          <w:b/>
        </w:rPr>
        <w:t xml:space="preserve">Quelle: </w:t>
      </w:r>
      <w:r>
        <w:t>https://mcp.opencaselaw.ch/entscheid/vd_findinfo_Arr_t___2020___1037</w:t>
      </w:r>
    </w:p>
    <w:p>
      <w:r>
        <w:t>FR: VD_FINDINFO Arrêt / 2020 / 1037 du 23 novembre 2020</w:t>
      </w:r>
    </w:p>
    <w:p>
      <w:r>
        <w:t>IT: VD_FINDINFO Arrêt / 2020 / 1037 del 23 novembre 2020</w:t>
      </w:r>
    </w:p>
    <w:p>
      <w:pPr>
        <w:pStyle w:val="Heading2"/>
      </w:pPr>
      <w:r>
        <w:t>Regeste</w:t>
      </w:r>
    </w:p>
    <w:p>
      <w:r>
        <w:t>TRAITEMENT AMBULATOIRE, DROIT D'ÊTRE ENTENDU, ADMISSION DE LA DEMANDE | 431 CC, 437 CC, 29 al. 2 Cst., 29 LVPAE</w:t>
      </w:r>
    </w:p>
    <w:p>
      <w:pPr>
        <w:pStyle w:val="Heading2"/>
      </w:pPr>
      <w:r>
        <w:t>Erwägungen</w:t>
      </w:r>
    </w:p>
    <w:p>
      <w:r>
        <w:rPr>
          <w:b/>
        </w:rPr>
        <w:t>E. 1</w:t>
      </w:r>
    </w:p>
    <w:p>
      <w:r>
        <w:t>Le recours est dirigé contre une décision de l’autorité de protection de l’adulte, maintenant, pour une durée indéterminée, les mesures ambulatoires prononcées en faveur de T.________, décision rendue dans le cadre de l’examen périodique.</w:t>
      </w:r>
    </w:p>
    <w:p>
      <w:r>
        <w:rPr>
          <w:b/>
        </w:rPr>
        <w:t>E. 1.1</w:t>
      </w:r>
    </w:p>
    <w:p>
      <w:r>
        <w:t>A titre liminaire, on relèvera que dans un arrêt récent, la Chambre de céans s’est penchée sur la question de la procédure applicable aux mesures ambulatoires de l’art. 437 CC (Code civil suisse du 10 décembre 1907 ; RS 210) qui ne sont pas des mesures de droit fédéral, mais de droit cantonal (CCUR 15 octobre 2020/207 consid 1.1.1.1 et les réf. cit.). Après avoir constaté une lacune proprement dite, dès lors que le législateur avait omis de régler la procédure applicable dans ce domaine, la Chambre de céans a retenu qu’il fallait combler celle-ci et retenir que les dispositions du droit fédéral de la protection de l’adulte relatives au placement à des fins d’assistance s’appliquaient aux mesures ambulatoires de l’art. 29 LVPAE (Loi du 29 mai 2012 d'application du droit fédéral de la protection de l'adulte et de l'enfant ; BLV 211.255) à titre de droit cantonal supplétif. Ce système permet ainsi de maintenir la pratique vaudoise en ce domaine, cela en accord avec la nouvelle jurisprudence fédérale (TF 5A_662/2019 du 25 septembre 2019).</w:t>
      </w:r>
    </w:p>
    <w:p>
      <w:r>
        <w:rPr>
          <w:b/>
        </w:rPr>
        <w:t>E. 1.2</w:t>
      </w:r>
    </w:p>
    <w:p>
      <w:r>
        <w:t>Partant, le recours de l'art. 450 CC est ouvert contre une telle décision litigieuse à la Chambre des curatelles (art. 8 LVPAE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l’enfant, Guide pratique COPMA 2017, n. 5.83, p. 181 ; Meier, Droit de la protection de l’adulte, 2016, n. 276, p. 142). L'art. 446 al. 1 CC prévoit que l'autorité de protection établit les faits d'office. Compte tenu du renvoi de l'art. 450f CC aux règles du Code de procédure civile du 19 décembre 2008, l'art. 229 al. 3 CPC est applicable devant cette autorité, de sorte que les faits et moyens de preuve nouveaux sont admis jusqu'aux délibérations. Cela vaut aussi en deuxième instance (Droese/Steck, Basler Kommentar, Zivilgesetzbuch I, Art. 1-456 CC, 6 e éd., Bâle 2018, n. 7 ad art. 450a CC, p. 2827, et les auteurs cités ; voir également TF 5C_1/2018 du 8 mars 2019 consid. 5.1 et les réf. cit.).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personne concernée, partie à la procédure, le présent recours est recevable. Interpellée par avis du 26 novembre 2020, la justice de paix a renoncé le même jour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 er février 2016 consid. 3.2.2 ; TF 4A_35/2015 du 12 juin 2015 consid. 2.3 ; ATF 136 III 174 consid. 5.1.2).</w:t>
      </w:r>
    </w:p>
    <w:p>
      <w:r>
        <w:rPr>
          <w:b/>
        </w:rPr>
        <w:t>E. 2.2</w:t>
      </w:r>
    </w:p>
    <w:p>
      <w:r>
        <w:t>En l’espèce, il ressort des éléments au dossier que le recourant n’a pas été entendu personnellement par la justice de paix depuis le 7 février 2017. Certes, il n’y a pas lieu d’entendre personnellement la personne concernée lors de chaque contrôle périodique, une simple invitation du juge à solliciter une audition peut s’avérer suffisante, sous réserve de ce qui suit. Dans le cas d’espèce, il aurait en effet fallu dans un premier temps transmettre les pièces médicales à la personne concernée avec un délai pour se déterminer, puis, en cas de doute, la citer à une audience. Or, il apparaît, à la lecture du procès-verbal des opérations et des divers courriers, qu’aucun des rapports établis par les médecins en charge du suivi du recourant n’a été transmis au recourant avant reddition de la décision d’examen périodique. Le recourant n’a ainsi pas eu l’occasion de prendre connaissance en temps voulu des courriers des 22 août 2017, 22 mars 2018, 21 juin 2019 et 2 juillet 2020, et a été privé de la possibilité de s’exprimer, alors que ces rapports annuels étaient déterminants dans le cadre des réexamens auxquels l’autorité de protection a procédé. Le respect du droit d’être entendu du recourant aurait notamment permis à l’autorité de protection de prendre connaissance des craintes du recourant quant aux effets secondaires provoqués par son médicament actuel et d’inviter les médecins, le cas échéant, à trouver une alternative à celui-ci, à défaut de pouvoir lever la mesure. On relèvera encore que l’interpellation pour avis médical du médecin traitant du recourant – qui grâce à un suivi régulier connait bien son patient − aurait pu compléter l’instruction de manière opportune. Partant, dans le cas présent, la violation du droit d’être entendu du recourant est si grave et récurrente qu’elle ne saurait être réparée au stade de la procédure de recours.</w:t>
      </w:r>
    </w:p>
    <w:p>
      <w:r>
        <w:rPr>
          <w:b/>
        </w:rPr>
        <w:t>E. 3</w:t>
      </w:r>
    </w:p>
    <w:p>
      <w:r>
        <w:t>En conclusion, le recours interjeté par T.________ doit être admis, la décision entreprise annulée et le dossier renvoyé à l’autorité de première instance pour complément d’instruction et nouvelle décision dans le sens des considérants. Le présent arrêt peut être rendu sans frais judiciaires (art. 74a al. 4 TFJC [tarif du 28 septembre 2010 des frais judiciaires civils ; BLV 270.11.5]). Par ces motifs, la Chambre des curatelles du Tribunal cantonal, statuant à huis clos, prononce : I. Le recours est admis. II. La décision est annulée. III. Le dossier est renvoyé à la Justice de paix du district de Lausanne pour complément d’instruction et nouvelle décision dans le sens des considérants. IV. Le traitement ambulatoire de T.________, sous la responsabilité des Drs [...] et [...] et dont les modalités sont les suivantes, est maintenu jusqu’à la reddition de la nouvelle décision : - T.________ est astreint à prendre un traitement neuroleptique à libération prolongée par voie orale tous les mardis à la Pharmacie de Prélaz à Lausanne, soit du Penfluridol 10 mg, ainsi que toute autre médication qui sera prescrite par le médecin en charge du suivi ; - T.________ est astreint à suivre au minimum un entretien médical tous les trois mois avec le Dr [...] ; - Le Dr [...], respectivement la Pharmacie de Prélaz, devront aviser sans délai l'autorité de protection si T.________ se soustrait au contrôle prévu ou compromet de toute autre manière le traitement ambulatoire ordonné ci-dessus. V. L'arrêt, rendu sans frais, est exécutoire. Le président :              La greffière : Du L'arrêt qui précède, dont la rédaction a été approuvé e à huis clos, est notifié à : ‑ M. T.________ personnellement, ‑ Dr [...], Service Universitaire de Psychiatrie de l’Âge Avancé du CHUV, - Pharmacie de Prélaz, Lausanne,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