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1030 vom 4. Januar 2021</w:t>
      </w:r>
    </w:p>
    <w:p>
      <w:r>
        <w:t>VD Tribunal cantonal, 2021-01-04, FR</w:t>
      </w:r>
    </w:p>
    <w:p>
      <w:r>
        <w:rPr>
          <w:b/>
        </w:rPr>
        <w:t xml:space="preserve">Quelle: </w:t>
      </w:r>
      <w:r>
        <w:t>https://mcp.opencaselaw.ch/entscheid/vd_findinfo_Arr_t___2020___1030</w:t>
      </w:r>
    </w:p>
    <w:p>
      <w:r>
        <w:t>FR: VD_FINDINFO Arrêt / 2020 / 1030 du 4 janvier 2021</w:t>
      </w:r>
    </w:p>
    <w:p>
      <w:r>
        <w:t>IT: VD_FINDINFO Arrêt / 2020 / 1030 del 4 gennaio 2021</w:t>
      </w:r>
    </w:p>
    <w:p>
      <w:pPr>
        <w:pStyle w:val="Heading2"/>
      </w:pPr>
      <w:r>
        <w:t>Regeste</w:t>
      </w:r>
    </w:p>
    <w:p>
      <w:r>
        <w:t>LIEN DE CAUSALITÉ, ACCIDENT, RECHUTE, FORCE PROBANTE | 6 al. 1 LAA, 11 OLAA</w:t>
      </w:r>
    </w:p>
    <w:p>
      <w:pPr>
        <w:pStyle w:val="Heading2"/>
      </w:pPr>
      <w:r>
        <w:t>Erwägungen</w:t>
      </w:r>
    </w:p>
    <w:p>
      <w:r>
        <w:rPr>
          <w:b/>
        </w:rPr>
        <w:t>E. 4</w:t>
      </w:r>
    </w:p>
    <w:p>
      <w:r>
        <w:t>janvier 2021 __________________ Composition :               Mme Berberat , présidente Mme Feusi et M. Reinberg, assesseurs Greffière :              Mme Chaboudez ***** Cause pendante entre : Q.________ , à [...], recourant, représenté par Me Ana Rita Perez, avocate à Lausanne, et Caisse nationale suisse d'assurance en cas d'accidents , à Lucerne, intimée. _______________ Art.</w:t>
      </w:r>
    </w:p>
    <w:p>
      <w:r>
        <w:rPr>
          <w:b/>
        </w:rPr>
        <w:t>E. 6</w:t>
      </w:r>
    </w:p>
    <w:p>
      <w:r>
        <w:t>Au vu de ce qui précède, il faut constater que les pièces médicales au dossier permettent à la Cour de céans de statuer en pleine connaissance de cause. Il n’y a dès lors pas lieu de donner suite à la mesure d'instruction requise par le recourant, à savoir d’ordonner une expertise orthopédique et traumatologique. En effet, une telle mesure ne serait pas de nature à modifier les considérations qui précèdent, les faits pertinents ayant pu être constatés à satisfaction de droit. La requête du recourant en ce sens doit ainsi être rejetée par appréciation anticipée des preuves (ATF 140 I 285 consid. 6.3.1 ; 130 II 425 consid. 2.1).</w:t>
      </w:r>
    </w:p>
    <w:p>
      <w:r>
        <w:rPr>
          <w:b/>
        </w:rPr>
        <w:t>E. 7</w:t>
      </w:r>
    </w:p>
    <w:p>
      <w:r>
        <w:t>a) Mal fondé, le recours doit en conséquence être rejeté et la décision sur opposition entreprise confirmée. b) Il n’y a pas lieu de percevoir de frais judiciaires, la procédure étant gratuite (art. 61 let. a LPGA, dans sa teneur en vigueur jusqu’au 31 décembre 2020, applicable en l’occurrence selon l’art. 83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