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1015 vom 15. Dezember 2020</w:t>
      </w:r>
    </w:p>
    <w:p>
      <w:r>
        <w:t>VD Tribunal cantonal, 2020-12-15, FR</w:t>
      </w:r>
    </w:p>
    <w:p>
      <w:r>
        <w:rPr>
          <w:b/>
        </w:rPr>
        <w:t xml:space="preserve">Quelle: </w:t>
      </w:r>
      <w:r>
        <w:t>https://mcp.opencaselaw.ch/entscheid/vd_findinfo_Arr_t___2020___1015</w:t>
      </w:r>
    </w:p>
    <w:p>
      <w:r>
        <w:t>FR: VD_FINDINFO Arrêt / 2020 / 1015 du 15 décembre 2020</w:t>
      </w:r>
    </w:p>
    <w:p>
      <w:r>
        <w:t>IT: VD_FINDINFO Arrêt / 2020 / 1015 del 15 dicembre 2020</w:t>
      </w:r>
    </w:p>
    <w:p>
      <w:pPr>
        <w:pStyle w:val="Heading2"/>
      </w:pPr>
      <w:r>
        <w:t>Regeste</w:t>
      </w:r>
    </w:p>
    <w:p>
      <w:r>
        <w:t>RESPONSABILITÉ DE L'EMPLOYEUR{AVS}, SOCIÉTÉ À RESPONSABILITÉ LIMITÉE, REJET DE LA DEMANDE | 52 LAVS</w:t>
      </w:r>
    </w:p>
    <w:p>
      <w:pPr>
        <w:pStyle w:val="Heading2"/>
      </w:pPr>
      <w:r>
        <w:t>Erwägungen</w:t>
      </w:r>
    </w:p>
    <w:p>
      <w:r>
        <w:rPr>
          <w:b/>
        </w:rPr>
        <w:t>E. 6</w:t>
      </w:r>
    </w:p>
    <w:p>
      <w:r>
        <w:t>a) Au regard de ce qui précède, les conclusions du recourant sont entièrement mal fondées. C’est à juste titre que la Caisse a exigé la réparation d’un dommage à hauteur de 2'464 fr. 70 puis, après sommation infructueuse, a agi par voie de poursuite pour recouvrer sa créance. Dès lors, le recours doit être rejeté et la décision entreprise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24 janvier 2020 par la Caisse cantonale vaudoise de compensation AVS est confirmée. III. Il n’est pas perçu de frais judiciaires, ni alloué de dépens. La juge unique :               Le greffier : Du L'arrêt qui précède est notifié à : ‑ I.________,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