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957 vom 15. September 2020</w:t>
      </w:r>
    </w:p>
    <w:p>
      <w:r>
        <w:t>VD Tribunal cantonal, 2020-09-15, FR</w:t>
      </w:r>
    </w:p>
    <w:p>
      <w:r>
        <w:rPr>
          <w:b/>
        </w:rPr>
        <w:t xml:space="preserve">Quelle: </w:t>
      </w:r>
      <w:r>
        <w:t>https://mcp.opencaselaw.ch/entscheid/vd_findinfo_Arr_t___2019___957</w:t>
      </w:r>
    </w:p>
    <w:p>
      <w:r>
        <w:t>FR: VD_FINDINFO Arrêt / 2019 / 957 du 15 septembre 2020</w:t>
      </w:r>
    </w:p>
    <w:p>
      <w:r>
        <w:t>IT: VD_FINDINFO Arrêt / 2019 / 957 del 15 settembre 2020</w:t>
      </w:r>
    </w:p>
    <w:p>
      <w:pPr>
        <w:pStyle w:val="Heading2"/>
      </w:pPr>
      <w:r>
        <w:t>Regeste</w:t>
      </w:r>
    </w:p>
    <w:p>
      <w:r>
        <w:t>ACCIDENT NON PROFESSIONNEL, DROIT À LA PRESTATION D'ASSURANCE, ÉVALUATION DE L'ATTEINTE À LA SANTÉ, ÉVALUATION DE L'INCAPACITÉ DE TRAVAIL, ÉVALUATION DE L'INVALIDITÉ, FORCE PROBANTE, EXPERTISE MÉDICALE, INDEMNITÉ POUR ATTEINTE À L'INTÉGRITÉ | 18 al. 1 LAA, 19 LAA, 24 LAA, 25 LAA, 16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Le litige a pour objet le droit de la recourante à une rente d’invalidité de l’assurance-accidents à fixer à dire de justice ainsi que son droit à une indemnité pour atteinte à l’intégrité. d)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w:t>
      </w:r>
    </w:p>
    <w:p>
      <w:r>
        <w:rPr>
          <w:b/>
        </w:rPr>
        <w:t>E. 3</w:t>
      </w:r>
    </w:p>
    <w:p>
      <w:r>
        <w:t>a) La recourante fait grief à l’intimée de ne pas avoir attendu d’être en possession du rapport médical qu’elle entendait produire en procédure d’opposition avant de rendre la décision querellée et d’avoir ainsi violé son droit d’être entendue. b) Le droit d’être entendu, tel qu’il est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 En l’occurrence, la recourante a bénéficié de trois prolongations de délai pour produire le rapport du Dr F.________ qu’elle annonçait. L’intimée a rendu la décision sur opposition après avoir reçu une quatrième demande de prolongation de délai, en expliquant qu’elle estimait que l’instruction était complète. Au vu de la jurisprudence du Tribunal fédéral en la matière, on ne voit pas en quoi l’intimée aurait violé le droit d’être entendue de la recourante, étant relevé qu’elle n’a pas produit de nouveau rapport médical du Dr F.________ en procédure de recours non plus. La Cour de céans souligne par ailleurs qu’après avoir accordé à la recourante plusieurs prolongations de délai pour déposer une expertise médicale, le juge instructeur a accepté de suspendre la cause jusqu'au 1 er octobre 2018, toujours en vue de la production par la recourante d'une expertise médicale comme l’indiquait Me Duc dans son courrier du 25 juin 2018 (courrier du Tribunal du 9 juillet 2018). Or, après plus de quatre mois, seule une appréciation du médecin traitant de l'assurée, la Dre T.________, de moins de deux pages a été produite, puis, quelque cinq semaines plus tard, un rapport médical de son médecin traitant au Portugal et enfin, le 2 septembre 2019, en même temps que la liste des opérations, deux rapports émanant respectivement du Prof R.________, daté du 3 octobre 2018, chirurgien traitant de la recourante, et du Dr X.________, daté du 22 juillet 2019.</w:t>
      </w:r>
    </w:p>
    <w:p>
      <w:r>
        <w:rPr>
          <w:b/>
        </w:rPr>
        <w:t>E. 4</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Il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b) Si l’assuré est invalide (art.</w:t>
      </w:r>
    </w:p>
    <w:p>
      <w:r>
        <w:rPr>
          <w:b/>
        </w:rPr>
        <w:t>E. 8</w:t>
      </w:r>
    </w:p>
    <w:p>
      <w:r>
        <w:t>Reste à examiner si le degré d’invalidité de 10 % reconnu par l’intimée, compte tenu de la capacité totale de travail de la recourante dans une activité adaptée, est correct.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d'assurance-invalidité, étant relevé que, dans le cas présent, l’OAI a retenu un degré d’invalidité inférieur à celui calculé par l’intimée (5 % au lieu de 10 %).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c/aa)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c/bb) En l'occurrence, la recourante n’a formulé aucun grief sur la question du calcul du degré d’invalidité. Cela étant, il suffit de retenir que, comme l’exige la jurisprudence, l’intimée a déterminé le revenu d’invalide sur la base des données salariales résultant de cinq DPT, qu’elle a en outre fourni la liste des DPT existantes et que son calcul ne prête pas le flanc à la critique. Le bien-fondé du choix des DPT opéré par l’intimée doit être examiné uniquement à la lumière des lésions se trouvant en lien de causalité avec l’accident de janvier 2009. Or, il convient de constater que dans le choix des DPT, la CNA a pris en compte la nécessité d’une activité respectant les limitations fonctionnelles de la recourante, soit permettant de fréquents changements de position. d) La décision sur opposition est ainsi bien fondée en ce qui concerne le droit à une rente d'invalidité.</w:t>
      </w:r>
    </w:p>
    <w:p>
      <w:r>
        <w:rPr>
          <w:b/>
        </w:rPr>
        <w:t>E. 9</w:t>
      </w:r>
    </w:p>
    <w:p>
      <w:r>
        <w:t>a) La recourante reproche également à l’intimée de lui avoir nié le droit à une indemnité pour atteinte à l’intégrité (ci-après : IPAI).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 é 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contrairement à ce que soutient la recourante, les experts du I._________ ont bien examiné la question de l’octroi de l’IPAI et ont conclu que celle-ci était sans objet d’un point de vue neurologique, rhumatismal et psychiatrique. Leur réponse, compte tenu de leur appréciation globale de la situation médicale de la recourante qui conclut à une pleine capacité de travail dans une activité permettant le changement de position, est convaincante. Cela étant, le refus de l’intimée d’octroyer une IPAI à la recourante doit également être confirmé.</w:t>
      </w:r>
    </w:p>
    <w:p>
      <w:r>
        <w:rPr>
          <w:b/>
        </w:rPr>
        <w:t>E. 10</w:t>
      </w:r>
    </w:p>
    <w:p>
      <w:r>
        <w:t>Le droit d’être entendu garanti par l’art. 29 al. 2 Cst.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d'expertise pluridisciplinaire s'avère inutile et doit être rejetée. Il en va de même de l’audition de son époux ou d’une nouvelle suspension de la cause pour produire une expertise neurologique.</w:t>
      </w:r>
    </w:p>
    <w:p>
      <w:r>
        <w:rPr>
          <w:b/>
        </w:rPr>
        <w:t>E. 11</w:t>
      </w:r>
    </w:p>
    <w:p>
      <w:r>
        <w:t>a) En conclusion, le recours doit être rejeté et la décision attaquée confirmée. b) Il n’y a pas lieu de percevoir de frais judiciaires, la procédure étant gratuite (art. 61 let. a LPGA). c) La recourante, qui n’obtient pas gain de cause, n’a pas droit à des dépens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da) En l’espèce, par décision du juge instructeur du 6 juillet 2017, la recourante a été mise au bénéfice de l’assistance judiciaire avec effet au 12 juin 2017 et a obtenu à ce titre la commission d’un avocat d’office en la personne de Me Jean-Michel Duc (art. 118 CPC, applicable par renvoi de l’art. 18 al. 5 LPA-VD). Me Duc a déposé une première liste des opérations le 3 septembre 2019 et une seconde lors de l’audience du 15 septembre 2020, laquelle fait état de 36 heures et 35 minutes de prestations pour lesquelles il réclame un montant de 6'844 fr. 50. Dite liste des opérations comprend notamment des débours. Il convient toutefois sur ce dernier point d’appliquer le forfait de 5 % du défraiement hors taxe (art. 3bis al. 1 RAJ [règlement cantonal du 7 décembre 2010 sur l’assistance judiciaire en matière civile ; BLV 211.02.3]). Par ailleurs, on relèvera qu’entre la première version et la seconde des listes des opérations produites, Me Duc a rajouté 2 heures pour la rédaction du recours.  Il ressort toutefois de la seconde liste des opérations que l’avocat Jean-Michel Duc n’en a accompli que 4 heures et 20 minutes sur les 36 heures et 35 minutes comptabilisées, le reste des opérations ayant été effectué par ses trois consoeurs avocates au sein de la même étude, Me Estelle Marguet, stagiaire en l’étude de Me Duc et titulaire du brevet depuis le 11 octobre 2017, Me Marine Girardin et Me Marine Dugon, actuellement Me Saint Leger.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 ce qui est le cas pour opérations effectuées par Me Marguet du 12 juin 2017 au 10 octobre 2017 -,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Marine Girardin et Me Marine Saint Leger, ainsi que Me Marguet à compter du 10 octobre 2017, n’ont pas été autorisées à procéder au titre de l’assistance judiciaire – respectivement, à se substituer à Me Jean-Michel Duc – dans le cadre de la présente affaire. Partant, l’activité qu’elles ont déployée ne devrait pas être indemnisée conformément à la jurisprudence précitée. Il convient exceptionnellement de la prendre en considération. Il est en conséquence signifié qu’en l’absence d’autorisation judiciaire préalable, les opérations déléguées par le conseil d’office à un autre avocat titulaire d’un brevet, qu’il soit collaborateur, associé ou simple confrère, ne seront plus indemnisées, sous réserve de circonstances particulières. db) Ceci étant, la note d’honoraires de Me Duc produite le 15 septembre 2020 doit être rectifiée en ce sens que, d’une part les opérations effectuées par Me Marguet jusqu’au 10 octobre 2017 doivent être facturées au tarif horaire de 110 fr. dès lors qu’elle avait durant cette période le statut d’avocate-stagiaire, d’autre part que les heures effectuées par les secrétaires de l’étude ( [...], [...] et [...]) ne sauraient être comptabilisées puisqu’elles sont déjà comprises dans le forfait des débours, enfin que les opérations facturées qui ne sont pas liées à la présente procédure (opérations des 17 juillet, 7 et 14 décembre 2017, 26 avril, 9, 16 et 18 mai [courrier à [...]], 4 juin, 18 et 22 octobre [courrier relatif à la « prescription » adressé au Dr F.________] et 29 novembre 2018, 28 février [courrier adressé à l’Hôpital de [...]], 18 mars, 27 juin [courrier à A.________], 2 juillet, 16 octobre [quatre courriers concernant « la prescription »], et 18 novembre 2019) doivent elles aussi être retranchées. Cela étant, on peut retenir que Me Duc a effectué 4 heures et 10 minutes à 180 fr. de l’heure, que Me Marquet a effectué 5 heures et 15 minutes à 110 fr. de l’heure, auxquelles s’ajoutent 6 heures 40 à 180 fr. de l’heure, que Me Dugon a effectué</w:t>
      </w:r>
    </w:p>
    <w:p>
      <w:r>
        <w:rPr>
          <w:b/>
        </w:rPr>
        <w:t>E. 13</w:t>
      </w:r>
    </w:p>
    <w:p>
      <w:r>
        <w:t>heures et 30 minutes à 180 fr. de l’heure et que Me Girardin a effectué 35 minutes à 180 fr. de l’heure. Compte tenu d’une TVA de 8 % prévalant jusqu’au 31 décembre 2017, d’une TVA de 7, 7 % à compter du 1 er janvier 2018, les honoraires proprement dits se montent à 6'167 fr. 80 (1'660 fr. 50 [TVA à 8 %] + 4'507 fr. 30 [TVA à 7, 7 %]) auxquels s’ajoute le forfait de 5 % (hors taxe ; cf. art. 3 bis al. 1 RAJ), soit 266 fr. 90. Ainsi, le montant final dû au titre de rémunération de l’avocat d’office s’élève à 6'434 fr. 70.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