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919 vom 6. Dezember 2019</w:t>
      </w:r>
    </w:p>
    <w:p>
      <w:r>
        <w:t>VD Tribunal cantonal, 2019-12-06, FR</w:t>
      </w:r>
    </w:p>
    <w:p>
      <w:r>
        <w:rPr>
          <w:b/>
        </w:rPr>
        <w:t xml:space="preserve">Quelle: </w:t>
      </w:r>
      <w:r>
        <w:t>https://mcp.opencaselaw.ch/entscheid/vd_findinfo_Arr_t___2019___919</w:t>
      </w:r>
    </w:p>
    <w:p>
      <w:r>
        <w:t>FR: VD_FINDINFO Arrêt / 2019 / 919 du 6 décembre 2019</w:t>
      </w:r>
    </w:p>
    <w:p>
      <w:r>
        <w:t>IT: VD_FINDINFO Arrêt / 2019 / 919 del 6 dicembre 2019</w:t>
      </w:r>
    </w:p>
    <w:p>
      <w:pPr>
        <w:pStyle w:val="Heading2"/>
      </w:pPr>
      <w:r>
        <w:t>Regeste</w:t>
      </w:r>
    </w:p>
    <w:p>
      <w:r>
        <w:t>AA, MALADIE INFECTIEUSE, FORCE PROBANTE, LIEN DE CAUSALITÉ, ADMISSION DE LA DEMANDE | 36 al. 1 LAA, 6 al. 1 LAA, 4 LPGA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le litige porte sur le droit de la recourante à des prestations de l’intimée au-delà du 7 septembre 2014.</w:t>
      </w:r>
    </w:p>
    <w:p>
      <w:r>
        <w:rPr>
          <w:b/>
        </w:rPr>
        <w:t>E. 3</w:t>
      </w:r>
    </w:p>
    <w:p>
      <w:r>
        <w:t>Les modifications de la LAA introduites par la novelle du 25 septembre 2015 (RO 2016 4375), entrée en vigueur le 1 er janvier 2017, ne sont pas applicables au cas d’espèce. En vertu du ch. 1 des dispositions transitoires relatives à cette modification (RO 2016 4388), les prestations d'assurance allouées pour les accidents qui sont survenus avant l'entrée en vigueur de la modification du 25 septembre 2015 et pour les maladies professionnelles qui se sont déclarées avant cette date sont en effet régies par l'ancien droit.</w:t>
      </w:r>
    </w:p>
    <w:p>
      <w:r>
        <w:rPr>
          <w:b/>
        </w:rPr>
        <w:t>E. 4</w:t>
      </w:r>
    </w:p>
    <w:p>
      <w:r>
        <w:t>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réf. cit.).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réf. cit.). En matière de troubles physiques, la causalité adéquate se confond pratiquement avec la causalité naturelle (ATF 138 V 248 consid. 4 et réf. cit. ; TF 8C_220/2016 du 10 février 2017 consid. 7.3).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réf. cit.). e) Lorsque le rapport de causalité avec l’accident est établi avec la vraisemblance requise, l’assureur n’est délié de son obligation d’octroyer des prestations que si l’accident ne constitue plus une cause naturelle et adéquate de l’atteinte à la santé. De même que pour l’établissement du lien de causalité fondant le droit à des prestations, la disparition du caractère causal de l’accident eu égard à l’atteinte à la santé de l’assuré doit être établie au degré habituel de la vraisemblance prépondérante. La simple possibilité que l’accident n’ait plus d’effet causal ne suffit donc pas pour délier l’assureur de son obligation de prester (ATF 129 V 177 consid. 3.1 ; TF U 136/06 du 2 mai 2007 consid. 3.1 ; TFA U 179/03 du 7 juillet 2004 consid. 3 ; U 43/03 du 29 avril 2004 consid. 3 ; RAMA 2000 n° U 363 p. 46 consid. 2 ; RAMA 1994 n° U 206). Si le principe inquisitoire (art. 43 et 61 let. c LPGA) dispense les parties de l'obligation de prouver, il ne les libère pas du fardeau de la preuve : en cas d'absence de preuve, c'est à la partie qui voulait en déduire un droit d'en supporter les conséquences, sauf si l'impossibilité de prouver un fait peut être imputée à la partie adverse (ATF 139 V 176 consid. 5.2 ; 124 V 372 consid. 3 in fine ; TFA U 316/00 du 22 mars 2001 consid. 1b). Cette règle du fardeau de la preuve entre seulement en considération s'il n'est pas possible, dans le cadre du principe inquisitoire, d'établir sur la base d'une appréciation des preuves un état de fait qui, au degré de vraisemblance prépondérante, corresponde à la réalité (ATF 117 V 261 consid. 3b in fine ; TF 9C_468/2011 du 12 décembre 2011 consid. 4.3 ; 8C_86/2009 du 17 juin 2009 consid. 4 ; U 290/06 du 11 juin 2007 consid. 3.3, in : SVR 2008 UV n° 11 p. 34). Dans cette mesure, le fardeau de la preuve revient en principe à l’assuré en ce qui concerne la question de savoir si les conditions qui confèrent un droit aux prestations sont remplies (all. : « anspruchsbegründende Tatfrage »). Par contre, dans le contexte de la suppression du droit aux prestations qui, dans un premier temps, avait été établie, le fardeau de la preuve appartient à la partie qui invoque la suppression du droit, donc à l’assureur et non pas à l’assuré (all. : « anspruchsaufhebende Tatfrage » ; TF U 290/06 du 11 juin 2007 consid. 3.3, in : SVR 2008 UV n° 11 p. 34 ; U 136/06 du 2 mai 2007 consid. 3.1 ; TFA U 239/05 du 31 mai 2006 consid. 2.2 ; RAMA 2000 n° U 363 p. 46 ; RAMA 1994 n° U 206 p. 326 ; RAMA 1992 n° U 142 p. 75). Dans le cadre d’une suppression du droit aux prestations,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8C_423/2014 du 31 mars 2015 consid.</w:t>
      </w:r>
    </w:p>
    <w:p>
      <w:r>
        <w:rPr>
          <w:b/>
        </w:rPr>
        <w:t>E. 4.2</w:t>
      </w:r>
    </w:p>
    <w:p>
      <w:r>
        <w:t>et réf. cit.).</w:t>
      </w:r>
    </w:p>
    <w:p>
      <w:r>
        <w:rPr>
          <w:b/>
        </w:rPr>
        <w:t>E. 5</w:t>
      </w:r>
    </w:p>
    <w:p>
      <w:r>
        <w:t>Début des troubles compatible avec l’évolution de la borréliose de Lyme ; c’est-à-dire début des symptômes pendant la borréliose de Lyme aiguë ou immédiatement après, généralement dans les six mois après le début documenté et étayé de la borréliose de Lyme ;</w:t>
      </w:r>
    </w:p>
    <w:p>
      <w:r>
        <w:rPr>
          <w:b/>
        </w:rPr>
        <w:t>E. 6</w:t>
      </w:r>
    </w:p>
    <w:p>
      <w:r>
        <w:t>Des signes objectifs au status clinique général ou neurologique ne constituent pas un critère préalable au diagnostic ;</w:t>
      </w:r>
    </w:p>
    <w:p>
      <w:r>
        <w:rPr>
          <w:b/>
        </w:rPr>
        <w:t>E. 7</w:t>
      </w:r>
    </w:p>
    <w:p>
      <w:r>
        <w:t>Exclusion systématique et exhaustive d’autres maladies neurologiques, rhumatologiques ou autres ;</w:t>
      </w:r>
    </w:p>
    <w:p>
      <w:r>
        <w:rPr>
          <w:b/>
        </w:rPr>
        <w:t>E. 8</w:t>
      </w:r>
    </w:p>
    <w:p>
      <w:r>
        <w:t>a) En définitive, le recours doit être admis et la cause renvoyée à l’intimée pour complément d’instruction dans le sens des considérants, puis nouvelle décision. b) Il n’y a pas lieu de percevoir de frais judiciaires, la procédure étant gratuite (art. 61 let. a LPGA), ni d’allouer de dépens, le recourant ayant agi sans le concours d’un mandataire (art. 61 let. g LPGA ; ATF 127 V 205 consid. 4b). Par ces motifs, la juge unique prononce : I. Le recours est admis. II. La décision sur opposition rendue le 27 mai 2015 par U.________ est annulée, la cause lui étant renvoyée pour complément d’instruction dans le sens des considérants puis nouvelle décision. III. Il n’est pas perçu de frais judiciaires, ni alloué de dépens. La juge unique :               Le greffier : Du L'arrêt qui précède est notifié à : ‑ M.________, ‑ U.________,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