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847 vom 24. Oktober 2019</w:t>
      </w:r>
    </w:p>
    <w:p>
      <w:r>
        <w:t>VD Tribunal cantonal, 2019-10-24, FR</w:t>
      </w:r>
    </w:p>
    <w:p>
      <w:r>
        <w:rPr>
          <w:b/>
        </w:rPr>
        <w:t xml:space="preserve">Quelle: </w:t>
      </w:r>
      <w:r>
        <w:t>https://mcp.opencaselaw.ch/entscheid/vd_findinfo_Arr_t___2019___847</w:t>
      </w:r>
    </w:p>
    <w:p>
      <w:r>
        <w:t>FR: VD_FINDINFO Arrêt / 2019 / 847 du 24 octobre 2019</w:t>
      </w:r>
    </w:p>
    <w:p>
      <w:r>
        <w:t>IT: VD_FINDINFO Arrêt / 2019 / 847 del 24 ottobre 2019</w:t>
      </w:r>
    </w:p>
    <w:p>
      <w:pPr>
        <w:pStyle w:val="Heading2"/>
      </w:pPr>
      <w:r>
        <w:t>Regeste</w:t>
      </w:r>
    </w:p>
    <w:p>
      <w:r>
        <w:t>RENTE D'INVALIDITÉ, REJET DE LA DEMANDE, ÉVALUATION DE L'ATTEINTE À LA SANTÉ, MESURE D'ORDRE PROFESSIONNEL | 28 al. 1 LAI, 16 LPGA</w:t>
      </w:r>
    </w:p>
    <w:p>
      <w:pPr>
        <w:pStyle w:val="Heading2"/>
      </w:pPr>
      <w:r>
        <w:t>Erwägungen</w:t>
      </w:r>
    </w:p>
    <w:p>
      <w:r>
        <w:rPr>
          <w:b/>
        </w:rPr>
        <w:t>E. 30</w:t>
      </w:r>
    </w:p>
    <w:p>
      <w:r>
        <w:t>janvier 2019. Partant, il ne devait pas intervenir dans le cadre de la demande du 18 janvier 2016.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8C_160/2016 du 2 mars 2017 consid. 4.1). c) Selon la jurisprudence récente, tant les affections psychosomatiques que toutes les affections psychiques doivent en principe faire l’objet d’une procédure probatoire structurée au sens de l’ATF 141 V 281 (ATF 143 V 418 consid. 6 et 7 et les références).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4. Le recourant critique les conclusions de l’expertise du 23 février 2018 sur plusieurs points. a) Sur le plan formel, le recourant fait valoir que le temps consacré par l’expert à l’entretien (trois heures environ) est insuffisant au vu de la complexité du dossier. On relève en premier lieu que le recourant ne cite pas les éléments factuels qui manqueraient à l’expertise ou qui auraient été retenus de manière erronée. On rappelle ensuite que le rôle d’un expert consiste notamment à se faire une idée sur l’état de santé d’un assuré dans un délai relativement bref (TF 9C_722/2018 du 12 décembre 2018 consid. 4.2 et les références). De plus, le fait que le Dr K.________ ait vu le recourant durant trois heures selon les déclarations de l'intéressé, ne suffit pas à mettre en doute la valeur probante de son expertise. La précision de l'anamnèse, du vécu et des constatations est manifeste, étalée sur plusieurs pages. L'expertise retient tous les éléments déterminants en droit, concernant le status psychique. Au vrai, le rapport d'expertise démontre que l'expert s'est consacré de manière approfondie et appropriée à la personne du recourant. Par ailleurs, le Dr K.________ a pris en compte les rapports du Dr C.________ (pp. 21, 23 et 24 de l’expertise) et les a discutés dans la partie évaluation médicale (pp. 34 et suivantes). Le recourant n’indique pas quelles informations complémentaires l’expert aurait dû recueillir auprès de ce médecin et ne prétend pas non plus que le dossier médical soumis à l’expert était incomplet. Il ne précise pas quels autres renseignements médicaux auraient dû être portés à sa connaissance. Partant, les griefs formels tombent à faux. b) La Cour de céans constate par ailleurs que l’expertise répond aux réquisits jurisprudentiels, tant s’agissant de son contenu (étude circonstanciée des points litigieux, examens complets, anamnèse détaillée, appréciation médicale claire et conclusions motivées), que des conditions posées par la jurisprudence en matière de troubles psychiatriques (ATF 143 V 418). Le Dr K.________ a en effet utilisé la grille d’évaluation pour déterminer les ressources du recourant. L’expertise comporte les indicateurs établis par la jurisprudence (ATF 141 V 281 consid. 3.6), ce qui n’est du reste pas contesté. c) Le recourant reproche au Dr K.________ de ne pas avoir retenu le diagnostic de trouble schizo-affectif de type dépressif relevé par le Dr C.________ (rapports des 24 février 2016, 17 janvier et 8 février 2017). L’expert a écarté ce diagnostic pour plusieurs motifs. Le recourant a déclaré lors de l’entretien ne jamais avoir entendu une ou plusieurs voix connues ou inconnues faisant des commentaires sur sa personne ou lui enjoignant des ordres alors que personne n’était à proximité (hallucinations auditives), ni vu des choses qui n’existaient pas (hallucinations visuelles). Il n’avait jamais pensé que son comportement était dirigé par une force extérieure (syndrome d’influence) ni que des pensées pouvaient lui être imposées ou divulguées. Il a dit ne jamais avoir fait l’expérience de phénomènes d’écho de la pensée. L’assuré n'avait jamais considéré qu'il était fait allusion à sa personne à la télévision (idées de concernement) ni être doté de pouvoirs surnaturels (idées délirantes). Il n'avait jamais pensé qu'autrui était délibérément hostile vis-à-vis de sa personne, ni cru être suivi, surveillé ou que son téléphone était sous écoute ou encore que des micros étaient cachés dans son appartement (idées délirantes de persécution). Selon le Dr K.________, il n'y pas non plus de signes indirects en faveur d'une psychose et en particuliers d'hallucinations auditives (absence de barrage idéique, d'attitude d'écoute, de soliloque ou de rires immotivés ; pp. 36 et 37 de l’expertise). L’expert ajoute que même si on fouillait dans le passé de l’assuré, il n'y avait eu que trois épisodes où il était fait état d'une symptomatologie « étrange » : une première fois, durant sa jeunesse, lorsque le recourant travaillait en tant que nettoyeur d'une morgue, il avait eu l'impression que l'âme des personnes décédées était à côté de lui, mais cela n'était que transitoire et peut-être lié au type de travail. Une deuxième fois, lorsqu'il avait été hospitalisé à la Fondation L.________, il était tellement angoissé qu'il avait eu l'impression d'être possédé. L’expert explique cela par la manifestation d'une crise d'angoisse paroxystique qui pouvait parfois aussi s'accompagner de phénomènes de déréalisation et de personnalisation. A nouveau, il s'agissait d'un épisode aigu qui ne s'était plus reproduit avec la même intensité. Finalement, le troisième événement concernait l'habitude que le recourant avait pris de lire sur internet des blogs sur la politique qui le poussait à considérer qu'il y aurait bientôt une guerre civile en France et en Suisse, raison pour laquelle il souhaitait partir en [...]. Cela ne pouvait pas être considéré comme un délire structuré mais au maximum comme une idée obsédante selon le Dr K.________ (p. 37). Ce dernier explique les motifs de son appréciation divergente de manière convaincante et circonstanciée. Quant au Dr C.________, il n’explicite pas dans ses rapports précités les raisons qui l’amènent à retenir un trouble schizo-affectif. Le dernier rapport du médecin traitant date de février 2017 et ne permet pas de remettre en cause les conclusions de l’expertise. Le Dr C.________ expose que le recourant présente des idées de persécution, une angoisse, un trouble de la concentration, une fatigue, des idées de suicide, une perte de confiance et de la méfiance (rapport du 24 février 2016), mais ne motive pas davantage ses conclusions. Pour le surplus, on relève que le recourant substitue son appréciation à celle de l’expert en considérant que ce dernier avait sous-estimé les trois épisodes où il était fait état d’une symptomatologie « étrange ». Il n’amène aucune explication médicale pour appuyer ses dires et ne produit aucun rapport à ce sujet, en particulier aucun rapport récent de son psychiatre traitant. Il en va de même pour les griefs relatifs aux épisodes d’agressivité et au sentiment d’hostilité, qui ne sont pas étayés. d) Le recourant reproche à l’expert de ne pas avoir investigué la question de la fibromyalgie et des troubles somatoformes douloureux. Le Dr K.________ retient à cet égard qu’il était prêt à prendre en considération, parmi les diagnostics différentiels, également celui de fibromyalgie et de troubles somatoformes douloureux pour rendre compte de la symptomatologie algique, mais il y avait renoncé en raison de la disparition de cette dernière du tableau clinique, selon les dires du recourant (p. 37 de l’expertise). Ce dernier indique dans ses écritures qu’il présente toujours des douleurs chroniques, mais comme l’intimé ne les avait pas reconnues, il n’en avait pas parlé à l’expert. On constate que le diagnostic de fibromyalgie ou de troubles somatoformes douloureux n’est posé ni par le médecin traitant, ni par le psychiatre traitant du recourant, ni par les médecins de la Fondation L.________ (rapports des 25 novembre 2010 et 16 janvier 2015), quand bien même l’existence d’un tel diagnostic avait été évoquée quelques années auparavant (p. 9 de l’expertise). En l’absence de rapport étayé sur cette question, rien ne permet de s’écarter de l’appréciation de l’expert. e) En définitive, les conclusions de l’expertise du 23 février 2018 peuvent être suivies, soit une capacité de travail de 100 % dans la dernière activité exercée, sous réserve d’une diminution de rendement de 20 %. 5. Dans le cadre de la présente procédure, le recourant a produit différents rapports relatifs à son poignet droit. Il fait valoir une aggravation de la situation à cet égard. a)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Un rapport médical doit être pris en considération s’il a trait à la situation antérieure à la date déterminante (ATF 99 V 98 consid. 4 ; TF 9C_34/2017 du 20 avril 2017 consid. 5.2). b) Les lésions du poignet du recourant ont été discutées dans le précédent arrêt du 13 novembre 2017 de la Cour de céans, qui retient qu’au plan somatique, la situation est restée stable, si bien que l’instruction complémentaire ne devait porter que sur l’aspect psychiatrique. On constate que le recourant ne fait pas valoir de nouveaux arguments et avis médicaux sur ce point entre la date de l’arrêt du 13 novembre 2017 et celle de la nouvelle décision du 13 septembre 2018 de l’intimé. En effet, on ne peut pas prendre en compte l’IRM du 9 janvier 2019 qui est postérieure à la décision et qui fait l’objet d’une nouvelle demande de prestations (duplique du 4 avril 2019 et déterminations du 20 juin 2019). Quant aux rapports des 28 février et 9 mai 2019 produits par le recourant à l’appui de ses écritures, on relève qu’ils ne portent pas sur la période examinée dans le cadre de la présente procédure. Ils ne sauraient dès lors être pris en considération en l’occurrence. 6. Dès lors que le recourant ne remet pas en cause le calcul du degré d’invalidité, il n’y a pas lieu de s’écarter de la décision litigieuse. Par conséquent, le droit à la rente n’est pas ouvert (taux d’invalidité de 20 %). 7.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9C_100/2008 du 4 février 2009 consid. 3.2 ; I 552/06 du 13 juin 2007 consid. 3.1 et les références). c) Par courrier du 29 mai 2018, l’intimé a procédé à la mise en demeure formelle requise par la loi. Le recourant a clairement exprimé refuser les propositions de l’intimé par courrier du 6 juin 2018, soit de ne pas collaborer à une réinsertion professionnelle. Par conséquent, la décision attaquée n’est pas critiquable concernant le refus des mesures professionnelles, ce que le recourant ne conteste au demeurant pas. 8. Vu l’issue de la procédure, il n’y a pas lieu de procéder à la mesure d’instruction requise par le recourant, dès lors que la mise en œuvre d’une expertise pluridisciplinaire n’apparaît pas de nature à apporter un éclairage différent des éléments retenus ci-dessus. Elle peut dès lors être écartée par appréciation anticipée des preuves (ATF 141 I 60 consid. 3.3). 9. a) Mal fondé, le recours doit par conséquent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pas lieu d’allouer de dépens, le recourant n’obtenant pas gain de cause (art. 61 let. g LPGA). d) Par décision de la juge instructrice du 26 septembre 2018, le recourant a été mis au bénéfice de l’assistance judiciaire avec effet au 21 septembre 2018 et a obtenu à ce titre la commission d’un avocat d’office en la personne de Me Radivoje Stamenkovic. Ce dernier a produit sa liste des opérations le 12 août 2019. Ces opérations étant justifiées, l’indemnité de Me Stamenkovic est arrêtée à 2'171 fr. 25, débours et TVA compris (10 heures et quarante minutes x 180 fr., plus 96 fr. de débours et 155 fr. 25 de TVA).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