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755 vom 22. August 2018</w:t>
      </w:r>
    </w:p>
    <w:p>
      <w:r>
        <w:t>VD Tribunal cantonal, 2018-08-22, FR</w:t>
      </w:r>
    </w:p>
    <w:p>
      <w:r>
        <w:rPr>
          <w:b/>
        </w:rPr>
        <w:t xml:space="preserve">Quelle: </w:t>
      </w:r>
      <w:r>
        <w:t>https://mcp.opencaselaw.ch/entscheid/vd_findinfo_Arr_t___2019___755</w:t>
      </w:r>
    </w:p>
    <w:p>
      <w:r>
        <w:t>FR: VD_FINDINFO Arrêt / 2019 / 755 du 22 août 2018</w:t>
      </w:r>
    </w:p>
    <w:p>
      <w:r>
        <w:t>IT: VD_FINDINFO Arrêt / 2019 / 755 del 22 agosto 2018</w:t>
      </w:r>
    </w:p>
    <w:p>
      <w:pPr>
        <w:pStyle w:val="Heading2"/>
      </w:pPr>
      <w:r>
        <w:t>Regeste</w:t>
      </w:r>
    </w:p>
    <w:p>
      <w:r>
        <w:t>CURATEUR, SUPPLÉANT, CHOIX{EN GÉNÉRAL} | 400 CC, 401 CC, 403 al. 1 CC</w:t>
      </w:r>
    </w:p>
    <w:p>
      <w:pPr>
        <w:pStyle w:val="Heading2"/>
      </w:pPr>
      <w:r>
        <w:t>Erwägungen</w:t>
      </w:r>
    </w:p>
    <w:p>
      <w:r>
        <w:rPr>
          <w:b/>
        </w:rPr>
        <w:t>E. 1.1</w:t>
      </w:r>
    </w:p>
    <w:p>
      <w:r>
        <w:t>Le recours est dirigé contre une décision de la justice de paix nommant un avocat en qualité de curateur substitut de la personne concernée dans le cadre de la succession de sa mère.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 recours doit être dûment motivé et interjeté par écrit (art. 450 al. 3 CC), les exigences de motivation ne devant cependant pas être trop élevées (Droese/Steck, Basler Kommentar, Zivilgesetzbuch I, Art. 1-456 ZGB, 6 e éd., Bâle 2018, n. 42 ad art. 450 CC, p. 2825).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En outre, la Chambre des curatelles n’est pas liée par les conclusions des parties (Meier, Droit de la protection de l’adulte, 2016, n. 216, p. 108 et n. 245, p. 125). Conformément à l’art. 450d CC, la Chambre des curatelles donne à la justice de paix l’occasion de prendre position (al. 1), cette autorité pouvant, au lieu de prendre position, reconsidérer sa décision (al. 2).</w:t>
      </w:r>
    </w:p>
    <w:p>
      <w:r>
        <w:rPr>
          <w:b/>
        </w:rPr>
        <w:t>E. 1.3</w:t>
      </w:r>
    </w:p>
    <w:p>
      <w:r>
        <w:t>En l’espèce, le recours motivé en temps utile par la personne concernée, est recevable. Le recours étant manifestement mal fondé au vu des considérants qui suivent, l’autorité de protection n’a pas été consultée.</w:t>
      </w:r>
    </w:p>
    <w:p>
      <w:r>
        <w:rPr>
          <w:b/>
        </w:rPr>
        <w:t>E. 2.1</w:t>
      </w:r>
    </w:p>
    <w:p>
      <w:r>
        <w:t>La recourante invoque une violation de son droit d’être entendue, au motif qu’il lui est « impossible de savoir sur quelle base l’autorité intimée s’est fondée pour rejeter sa proposition et imposer un curateur substitut contre sa volonté ». Elle fait valoir que la décision attaquée ne fait aucune mention du fait qu’elle et sa nièce, D.F.________, ont proposé la personne de [...], juriste et titulaire d’un master avec mention « Droit privé et fiscal du patrimoine », en qualité de curatrice substitut et ne mentionne pas quelles seraient les compétences de Me Yvan Guichard au regard de l’art. 400 CC ni en quoi elles feraient défaut à [...]. En outre, la décision mentionne un conflit d’intérêts entre cette dernière et MeB.________ dès lors qu’elle serait sa future stagiaire, alors que ce n’est pas le cas.</w:t>
      </w:r>
    </w:p>
    <w:p>
      <w:r>
        <w:rPr>
          <w:b/>
        </w:rPr>
        <w:t>E. 2.2.1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2.2.2</w:t>
      </w:r>
    </w:p>
    <w:p>
      <w:r>
        <w:t>Aux termes de l’art. 53 al. 1 CPC, les parties ont le droit d'être entendues. L'art. 53 CPC reprend, dans le domaine de la procédure civile, l'art. 29 al. 2 Cst. (Constitution fédérale de la Confédération suisse du 18 avril 1999 ; RS 101), de sorte que la jurisprudence relative à cette disposition constitutionnelle peut et doit être prise en considération pour l'interprétation de cette disposition de procédure (TF 5A_31/2012 du 5 mars 2012 consid. 4.3 ; TF 5A_109/2012 du 3 mai 2012 consid. 2.1). Sous son aspect de droit à une décision motivée, l'art. 53 al. 1 CPC impose au juge l'obligation de motiver sa décision, afin que les parties puissent la comprendre et exercer leur droit de recours à bon escient. Le juge doit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Le juge n'a toutefois pas l'obligation d'exposer et de discuter tous les faits, moyens de preuve et griefs invoqués par les parties, mais peut au contraire se limiter à ceux qui, sans arbitraire, apparaissent pertinents (ATF 136 I 229 consid. 5.2 ; ATF 133 III 249 consid. 3.3 ; TF 4A_78/2018 du 10 octobre 2018 consid. 3.4.1 ; Haldy, Commentaire romand, Code de procédure civile, 2 e éd., Bâle 2019, n. 14 ad art. 53 CPC, p. 163). Le droit d'être entendu est une garantie constitutionnelle de caractère formel, dont la violation entraîne en principe l'annulation de la décision attaquée, indépendamment des chances de succès du recours sur le fond (TF 6B_1102/2018 du 29 janvier 2019 consid. 2.1).</w:t>
      </w:r>
    </w:p>
    <w:p>
      <w:r>
        <w:rPr>
          <w:b/>
        </w:rPr>
        <w:t>E. 2.3</w:t>
      </w:r>
    </w:p>
    <w:p>
      <w:r>
        <w:t>Contrairement à ce que soutient la recourante, il apparaît que la décision attaquée mentionne les motifs qui ont conduit les premiers juges à rendre une telle décision et quelles dispositions légales ont été appliquées (cf. supra consid. A). En outre, la recourante a pu faire valoir ses moyens devant la Cour de céans qui dispose d'un plein pouvoir d'examen, de sorte qu'un éventuel vice serait quoi qu’il en soit réparé.</w:t>
      </w:r>
    </w:p>
    <w:p>
      <w:r>
        <w:rPr>
          <w:b/>
        </w:rPr>
        <w:t>E. 3</w:t>
      </w:r>
    </w:p>
    <w:p>
      <w:r>
        <w:t>e éd., Lausanne 2002, nn. 3 et 4 ad art. 492 CPC-VD [Code de procédure civile vaudois du 14 décembre 1966, aujourd'hui abrogé], p. 763, point de vue qui demeure valable sous l'empire du nouveau droit).</w:t>
      </w:r>
    </w:p>
    <w:p>
      <w:r>
        <w:rPr>
          <w:b/>
        </w:rPr>
        <w:t>E. 3.1</w:t>
      </w:r>
    </w:p>
    <w:p>
      <w:r>
        <w:t>La recourante fait valoir une violation de l’art. 401 al. 3 CC. Elle invoque qu'elle s'est toujours opposée à ce qu'un « curateur avocat » soit désigné au motif, d’une part, qu'elle a présenté une personne compétente et de confiance et, d'autre part, que la rémunération d'un avocat ne se justifie pas dès lors que le cas ne présente pas de complexité particulière. De plus, elle relève que Me Guichard est dans la même étude que l'avocat qui s'était chargé de la succession de feu E.F.________, alors époux de B.F.________.</w:t>
      </w:r>
    </w:p>
    <w:p>
      <w:r>
        <w:rPr>
          <w:b/>
        </w:rPr>
        <w:t>E. 3.2.1</w:t>
      </w:r>
    </w:p>
    <w:p>
      <w:r>
        <w:t>Selon l’art. 403 al. 1 CC,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de l’affaire en cause (art. 403 al. 2 CC).</w:t>
      </w:r>
    </w:p>
    <w:p>
      <w:r>
        <w:rPr>
          <w:b/>
        </w:rPr>
        <w:t>E. 3.2.2</w:t>
      </w:r>
    </w:p>
    <w:p>
      <w:r>
        <w:t>Selon l'art. 400 al. 1 CC,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consid. 4.2 p. 4). L'autorité de protection est tenue de vérifier d'office que la condition posée par l'art. 400 al. 1 CC est réalisée, devoir qui incombe aussi à l'autorité de recours (TF 5A_904/2014 du 17 mars 2015 et les références citées).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(TF 5A_228/2018 du 30 avril 2018 consid. 4.2.1 ; TF 5A_904/2014 du 17 mars 2015 consid. 2.2 ; Meier, op. cit., n. 959, p. 460). En vertu de ce même principe, l'autorité de protection doit, dans toute la mesure du possible, tenir compte des objections émises par la personne concernée s'agissant de l'identité du curateur (art. 401 al. 3 CC), objections qui doivent être à tout le moins sommairement motivées. L'autorité de protection dispose d'un large pouvoir d'appréciation quant aux objections formulées par l'intéressé à la nomination de la personne pressentie. Si elle décide de s'écarter du vœu de l'intéressé, l'autorité de protection doit motiver sa décision et exposer les motifs ayant fondé le rejet de la proposition (TF 5A_904/2014 du 17 mars 2015 consid. 2.2).</w:t>
      </w:r>
    </w:p>
    <w:p>
      <w:r>
        <w:rPr>
          <w:b/>
        </w:rPr>
        <w:t>E. 3.3</w:t>
      </w:r>
    </w:p>
    <w:p>
      <w:r>
        <w:t>Il ressort du dossier que feu B.F.________ était propriétaire de deux biens immobiliers, à [...] et [...] enregistrés au Registre foncier pour un montant total de 2'538'000 fr. et que sa fortune imposable s’élevait à fin 2018 à 2'584'000 francs. Le 7 mai 2018, B.F.________ a établi un testament et institué des héritiers, notamment la curatrice de représentation de C.F.________, D.F.________. Si, comme le relève la recourante, le testament ne contient que trois articles et n'apparaît pas extrêmement compliqué dès lors que les héritiers légaux sont ramenés à leur réserve et les héritiers institués se partagent la quotité disponible, le partage successoral pourrait s'avérer compliqué dès lors que le patrimoine de la défunte est constitué essentiellement de biens immobiliers. Pour ce motif, il faudra vraisemblablement élaborer une convention de partage. Par ailleurs, la médecin traitant de la recourante a attesté du fait que celle-ci ne disposait pas de son discernement pour gérer les questions administratives dans le cadre de la succession de sa mère si bien qu'il est important que le curateur substitut puisse disposer de suffisamment d'expérience pour représenter la recourante sans être influencé par les autres membres de la communauté indivise. Enfin, la spécialisation FSA du curateur désigné devrait lui permettre d'appréhender facilement les questions juridiques qui vont se poser sans que cela n'engendre nécessairement un surcoût pour la recourante dès lors qu'il dispose déjà de connaissances accrues dans ce domaine. Quoiqu'il en soit, vu les enjeux financiers, il n'apparaît pas qu'il soit disproportionné de recourir aux services d'un avocat. S'agissant en dernier lieu du fait qu'il n'est pas opportun de désigner un avocat qui est associé à Me Burnand, ancien curateur substitut de la recourante, celle-ci n'expose pas en quoi cela engendrerait un conflit d'intérêt abstrait ou concret.</w:t>
      </w:r>
    </w:p>
    <w:p>
      <w:r>
        <w:rPr>
          <w:b/>
        </w:rPr>
        <w:t>E. 4</w:t>
      </w:r>
    </w:p>
    <w:p>
      <w:r>
        <w:t>En conclusion, le recours est rejeté et la décision attaquée confirmée. Au vu du sort de la cause, la requête de restitution de l’effet suspensif est sans objet. Les frais judiciaires de deuxième instance, arrêtés à 300 fr. (art. 74a al. 1 TFJC [tarif du 28 septembre 2010 des frais judiciaires civils ; BLV 270.11.5]), sont mis à la charge de la recourante. Par ces motifs, la Chambre des curatelles du Tribunal cantonal, statuant à huis clos, prononce : I. Le recours est rejeté. II. La décision est confirmée. III. La requête de restitution de l’effet suspensif est sans objet. IV. Les frais judiciaires de deuxième instance, arrêtés à 300 fr. (trois cents francs), sont mis à la charge de la recourante C.F.________. V. L'arrêt est exécutoire. La vice-présidente : La greffière : Du L'arrêt qui précède, dont la rédaction a été approuvée à huis clos, est notifié à : ‑ C.F.________, ‑ D.F.________, ‑ Me Yvan Guichard, avocat et curateur substitut de C.F.________, et communiqué à : ‑ Mme la Juge de paix du district de Morges, ‑ Me B.________, notaire et exécuteur testamentaire de feu B.F.________,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