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739 vom 6. September 2019</w:t>
      </w:r>
    </w:p>
    <w:p>
      <w:r>
        <w:t>VD Tribunal cantonal, 2019-09-06, FR</w:t>
      </w:r>
    </w:p>
    <w:p>
      <w:r>
        <w:rPr>
          <w:b/>
        </w:rPr>
        <w:t xml:space="preserve">Quelle: </w:t>
      </w:r>
      <w:r>
        <w:t>https://mcp.opencaselaw.ch/entscheid/vd_findinfo_Arr_t___2019___739</w:t>
      </w:r>
    </w:p>
    <w:p>
      <w:r>
        <w:t>FR: VD_FINDINFO Arrêt / 2019 / 739 du 6 septembre 2019</w:t>
      </w:r>
    </w:p>
    <w:p>
      <w:r>
        <w:t>IT: VD_FINDINFO Arrêt / 2019 / 739 del 6 settembre 2019</w:t>
      </w:r>
    </w:p>
    <w:p>
      <w:pPr>
        <w:pStyle w:val="Heading2"/>
      </w:pPr>
      <w:r>
        <w:t>Regeste</w:t>
      </w:r>
    </w:p>
    <w:p>
      <w:r>
        <w:t>REJET DE LA DEMANDE, ATTEINTE À LA SANTÉ PSYCHIQUE, SUPPRESSION DE LA PRESTATION D'ASSURANCE, ÉTAT DE SANTÉ, MODIFICATION{EN GÉNÉRAL}, REVENU SANS INVALIDITÉ, APPRÉCIATION ANTICIPÉE DES PREUVES | 28 LAI, 4 al. 1 LAI, 16 LPGA, 6 LPGA, 7 al. 1 LPGA, 8 al. 1 LPGA, 88a al. 1 RAI</w:t>
      </w:r>
    </w:p>
    <w:p>
      <w:pPr>
        <w:pStyle w:val="Heading2"/>
      </w:pPr>
      <w:r>
        <w:t>Erwägungen</w:t>
      </w:r>
    </w:p>
    <w:p>
      <w:r>
        <w:rPr>
          <w:b/>
        </w:rPr>
        <w:t>E. 6</w:t>
      </w:r>
    </w:p>
    <w:p>
      <w:r>
        <w:t>Sous l’angle économique, le recourant remet en question l'évaluation de son degré d'invalidité, plus particulièrement la détermination du revenu sans invalidité, reprochant à l’office intimé de ne pas tenir compte de sa formation spécialisée.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U 87/05, consid. 2). 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1993 n° U 168 p. 97, U 110/92, consid. 3b; TF 8C_516/2013 du 14 avril 2014 consid. 3.2 et la référence).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l'Enquête suisse sur la structure des salaires suppose aussi de prendre en considération l'ensemble des circonstances personnelles et professionnelles qui peuvent le cas échéant avoir une répercussion sur le revenu (TF 9C_910/2010 du 7 juillet 2011 consid. 4.4.2 et les références citées). c) aa) En l’espèce, pour la détermination des revenus avec et sans invalidité, l’office intimé s’est fondé sur les conclusions de l’expert H.________ selon lesquelles le recourant peut poursuivre son activité de comptable (sans mise en œuvre des compétences acquises par le biais du MBA) à 100% avec une diminution de rendement de 30%, raison pour laquelle il prend comme base le salaire d’un comptable dans les deux situations. Il n’y a pas lieu de revenir sur ce point. En effet, à la lumière du dossier constitué, il n’apparaît pas que le recourant – du moins, il ne le prétend pas – aurait perçu de revenu en relation avec les spécialisations acquises au travers de ses formations successives. Il n’y a donc aucune raison d’en tenir compte. bb)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(cf. ATF 137 V 334 consid. 5.5.3 ; en relation avec la question d’une formation professionnelle entreprise ultérieurement par l’assuré, cf. TF 9C_221/2014 du 28 août 2014 et TF 8C_311/2012 du 10 mai 2013). cc) Quand bien même le recourant a obtenu des certificats lui permettant en théorie d’obtenir des avancements sur le plan professionnel, on constate qu’il a obtenu ces titres plusieurs années avant d’être en incapacité de travail et qu’il n’a pourtant obtenu aucun revenu supérieur grâce aux formations entreprises. En conséquence, ce n’est pas l’incapacité de travail qui a empêché le recourant de percevoir un revenu supérieur consécutif à sa spécialisation. Partant, il n’apparaît pas comme établi au degré de la vraisemblance prépondérante que sans atteinte à la santé, le salaire réel aurait augmenté de manière substantielle grâce au développement des capacités professionnelles du recourant. En l’occurrence, pour fixer le revenu sans invalidité, l’intimé a pris en compte un salaire issu des données statistiques de l’Enquête suisse sur la structure des salaires à défaut de revenu déterminant réalisé par le recourant avant son incapacité de travail. Si l’on se base sur les données chiffrées avancées par le recourant dans son écriture du 6 juin 2018 et que l’on retient le dernier revenu mensuel connu de 10'000 fr. perçu en tant qu’employé d’A.________ SA en 2011, dont on ignore au demeurant s’il tenait compte de sa formation spécialisée, on obtient un revenu annuel de 120'000 francs en 2011. Indexé à 2015 (0,8%, 0,8%, 0,7% et 0,3% ; cf. tableau T39 Evolution des salaires nominaux, des prix à la consommation et des salaires réels 2010-2018, établi par l’Office fédéral de la statistique [OFS] ; cf. aussi ATF 129 V 408), ce montant s’élève à 123'150 fr. (montant arrondi). Comparé au revenu d’invalide de 81'713 fr. (cf. rapport final du 3 juillet 2017 du Service de réadaptation de l’office AI), il s’ensuit une perte de gain de 41'437 fr., soit un degré d’invalidité de 34% (taux arrondi). Dès lors, le fait de se fonder sur le dernier revenu réalisé par le recourant ne change rien à son droit à la rente.</w:t>
      </w:r>
    </w:p>
    <w:p>
      <w:r>
        <w:rPr>
          <w:b/>
        </w:rPr>
        <w:t>E. 7</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144 II 427 consid. 3.1.3 ; 140 I 285 consid. 6.3.1 ; 134 I 140 consid. 5.3 ; 130 II 425 consid. 2.1). b) En l’occurrence, le dossier est complet sur le plan médical avec l’expertise convaincante du Dr H.________ (cf. en particulier consid. 5 ci-dessus), permettant ainsi à la Cour de céans de statuer en toute connaissance de cause. Il n’y a donc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Ainsi, quoi qu’en dise le recourant, le dossier constitué ne souffre d’aucune lacune, de sorte que toute mesure d’instruction complémentaire apparaît superfétatoire. Quant à la demande d’audition de médecins, il n’y a pas lieu d’y accéder. En effet, nonobstant les avis médicaux divergents, l’instruction du cas sur le plan médical, laquelle a donné lieu à une expertise psychiatrique probante, s’avère complète et suffisante pour trancher le présent litige.</w:t>
      </w:r>
    </w:p>
    <w:p>
      <w:r>
        <w:rPr>
          <w:b/>
        </w:rPr>
        <w:t>E. 8</w:t>
      </w:r>
    </w:p>
    <w:p>
      <w:r>
        <w:t>En définitive, le recours, mal fondé, doit être rejeté, ce qui entraîne la confirmation de la décision attaquée.</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l’occurrence, au vu de la nature et de la complexité du litige, les frais judiciaires, mis à la charge du recourant, sont arrêtés à 400 francs. b) Il n’y a pas lieu d’allouer une indemnité de dépens, le recourant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