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724 vom 5. September 2019</w:t>
      </w:r>
    </w:p>
    <w:p>
      <w:r>
        <w:t>VD Tribunal cantonal, 2019-09-05, FR</w:t>
      </w:r>
    </w:p>
    <w:p>
      <w:r>
        <w:rPr>
          <w:b/>
        </w:rPr>
        <w:t xml:space="preserve">Quelle: </w:t>
      </w:r>
      <w:r>
        <w:t>https://mcp.opencaselaw.ch/entscheid/vd_findinfo_Arr_t___2019___724</w:t>
      </w:r>
    </w:p>
    <w:p>
      <w:r>
        <w:t>FR: VD_FINDINFO Arrêt / 2019 / 724 du 5 septembre 2019</w:t>
      </w:r>
    </w:p>
    <w:p>
      <w:r>
        <w:t>IT: VD_FINDINFO Arrêt / 2019 / 724 del 5 settembre 2019</w:t>
      </w:r>
    </w:p>
    <w:p>
      <w:pPr>
        <w:pStyle w:val="Heading2"/>
      </w:pPr>
      <w:r>
        <w:t>Regeste</w:t>
      </w:r>
    </w:p>
    <w:p>
      <w:r>
        <w:t>INFIRMITÉ CONGÉNITALE | 13 LAI</w:t>
      </w:r>
    </w:p>
    <w:p>
      <w:pPr>
        <w:pStyle w:val="Heading2"/>
      </w:pPr>
      <w:r>
        <w:t>Erwägungen</w:t>
      </w:r>
    </w:p>
    <w:p>
      <w:r>
        <w:rPr>
          <w:b/>
        </w:rPr>
        <w:t>E. 5</w:t>
      </w:r>
    </w:p>
    <w:p>
      <w:r>
        <w:t>Le recourant considère que l’incontinence, qui constitue l’un des symptômes du syndrome de duplication 15q11.2, est à charge de l’OAI, singulièrement que les frais de lange qui découlent de cette atteinte doivent être pris en charge au titre de mesures médicales, sous couvert du chiffre 390 OIC. L'intimé expose pour sa part que l'atteinte motrice ataxique dont souffre l'assuré et qui justifie une prise en charge en regard du chiffre 390, n'implique pas nécessairement un trouble sphinctérien. L'origine de ce trouble serait plutôt en lien avec le retard de développement que présente également l'assuré, et pour lequel l’OIC ne prévoit pas de prise en charge spécifique. Le recourant se fonde en particulier sur le rapport du 15 janvier 2018 établi par le Dr M.________. Selon ce médecin, l'assuré présente une paralysie cérébrale de type ataxique et il est impossible d'isoler l'ataxie (soit les troubles moteurs) comme seule composante de la paralysie cérébrale, et d'affirmer que le retard de développement est une problématique séparée. Il est par conséquent d'avis que l'incontinence de R.________ est en lien direct avec sa problématique médicale générale, la paralysie cérébrale, qu'elle qu'en soit sa cause. L'avis du Dr M.________ ne peut cependant être suivi. En effet, si sur le plan médical, il est important de considérer la symptomatologie comme faisant partie d'un tout, en lien avec le diagnostic de syndrome 15q11.2, il n'en demeure pas moins qu'au plan assécurologique, les différentes atteintes découlant d'une infirmité congénitale non reconnue par l'OIC (en l’occurrence le syndrome 15q11.2) doivent être analysées séparément (cf. consid. 3b supra ; avis SMR du 30 octobre 2018). Le SMR a accordé le chiffre 390 OIC en raison de l’atteinte motrice de type ataxique que présente l’assuré. Selon le chiffre 390.1.2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La Dre J.________ a estimé qu’au regard des seuls troubles ataxiques que présente l’assuré, qu’elle décrit par ailleurs comme légers (marche à polygone élargi, dysmétrie des mains, nystagmus dans le regard latéral), la présence d’une énurésie n’est pas vraisemblable. Elle rappelle dans ce contexte que le chiffre 390 OIC n’a pas été retenu dans le sens d’une paralysie cérébrale au sens large, qui peut comprendre des troubles moteurs congénitaux de type spastique, ataxique et/ou dyskinétique, mais en raison du seul trouble moteur de type ataxique dont l’assuré souffre dans le cadre de son syndrome. L’avis du Dr M.________ ne vient pas contredire ce diagnostic puisqu’il évoque une paralysie cérébrale d’origine génétique de type ataxique. La Dre J.________ expose également que la doctrine médicale évoquée par le Dr M.________ vaut pour les paralysies cérébrales en tant qu’atteintes périnatales du cerveau de type non-progressif, cas de figure dans lequel l’assuré ne se trouve en l’occurrence pas. Dans ce contexte, il s’avère que les explications du SMR selon lequel l’énurésie que présente l’assuré n’est pas en lien avec les troubles moteurs mais plus vraisemblablement avec le retard de développement qu’il présente aussi, sont suffisamment bien étayées pour être suivies.</w:t>
      </w:r>
    </w:p>
    <w:p>
      <w:r>
        <w:rPr>
          <w:b/>
        </w:rPr>
        <w:t>E. 6</w:t>
      </w:r>
    </w:p>
    <w:p>
      <w:r>
        <w:t>En conséquence, le recours doit être rejeté, ce qui entraîne la confirmation de la décision attaquée.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1'500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