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636 vom 6. August 2019</w:t>
      </w:r>
    </w:p>
    <w:p>
      <w:r>
        <w:t>VD Tribunal cantonal, 2019-08-06, FR</w:t>
      </w:r>
    </w:p>
    <w:p>
      <w:r>
        <w:rPr>
          <w:b/>
        </w:rPr>
        <w:t xml:space="preserve">Quelle: </w:t>
      </w:r>
      <w:r>
        <w:t>https://mcp.opencaselaw.ch/entscheid/vd_findinfo_Arr_t___2019___636</w:t>
      </w:r>
    </w:p>
    <w:p>
      <w:r>
        <w:t>FR: VD_FINDINFO Arrêt / 2019 / 636 du 6 août 2019</w:t>
      </w:r>
    </w:p>
    <w:p>
      <w:r>
        <w:t>IT: VD_FINDINFO Arrêt / 2019 / 636 del 6 agosto 2019</w:t>
      </w:r>
    </w:p>
    <w:p>
      <w:pPr>
        <w:pStyle w:val="Heading2"/>
      </w:pPr>
      <w:r>
        <w:t>Regeste</w:t>
      </w:r>
    </w:p>
    <w:p>
      <w:r>
        <w:t>DROIT D'ÊTRE ENTENDU, MOTIVATION DE LA DÉCISION, ATTEINTE À LA SANTÉ PHYSIQUE, ÉVALUATION DE L'INCAPACITÉ DE TRAVAIL, COMPARAISON DES REVENUS, RECONVERSION PROFESSIONNELLE, ADMISSION PARTIELLE, RÉPARTITION DES FRAIS | 29 al. 2 Cst., 17 al. 1 LAI, 28 LAI, 29 LAI, 4 al. 1 LAI, 16 LPGA, 49 al. 3 LPGA, 6 LPGA, 7 LPGA, 8 al. 1 LPGA</w:t>
      </w:r>
    </w:p>
    <w:p>
      <w:pPr>
        <w:pStyle w:val="Heading2"/>
      </w:pPr>
      <w:r>
        <w:t>Erwägungen</w:t>
      </w:r>
    </w:p>
    <w:p>
      <w:r>
        <w:rPr>
          <w:b/>
        </w:rPr>
        <w:t>E. 6</w:t>
      </w:r>
    </w:p>
    <w:p>
      <w:r>
        <w:t>Cela étant constaté, il y a lieu de déterminer le degré d’invalidité du recourant.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En l’occurrence, le recourant a retrouvé une capacité de travail entière dans une activité adaptée à partir du milieu du mois de mars 2018. Ce changement dans la capacité de travail étant susceptible d'influencer le droit à la rente, il convient de déterminer les revenus avec et sans invalidité à l'aune des circonstances prévalant en 2018.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En l'espèce, il n’y a pas de raison de s’écarter du dernier revenu réalisé par le recourant en 2016 auprès de la société Y.________ Sàrl (78'345 fr.) pour déterminer son revenu avant invalidité. Indexé à 2017 (0,4% ; cf. tableau T39 Evolution des salaires nominaux, des prix à la consommation et des salaires réels 2010-2018, établi par l’Office fédéral de la statistique [OFS]) et 2018 (0,5%), ce montant s'élève à 79’051 fr. 70. c) aa) S’agissant du revenu d’invalide, l’office AI s’est à juste titre fondé sur l’Enquête suisse sur la structure des salaires (ESS). En effet, en l’absence d’activité effectivement exercée par le recourant dans une activité adaptée raisonnablement exigible, la jurisprudence admet de s’y référer (ATF 129 V 472 consid. 4.2.1 ; 126 V 76 consid. 3a/bb ; 124 V 323 consid. 3b/bb, TF 9C_900/2009 du 27 avril 2010 consid. 3.3). On se réfère alors à la statistique des salaires bruts standardisés, en se fondant toujours sur la médiane ou valeur centrale (cf. ATF 124 V 321 consid. 3b/bb). bb) Dans le cas présent, le salaire de référence pour des hommes exerçant des tâches physiques ou manuelles simples dans le secteur privé (production et services), était, en 2016, de 5'340 fr. par mois, part au treizième salaire comprise (ESS 2016, tableau TA1_skill-level, niveau de compétence 1), soit 5'388 fr. 15 après indexation à 2017 (0,4%) et 2018 (0,5%). Compte tenu de la durée hebdomadaire de travail dans les entreprises en 2018 (41,7 heures ; cf. tableau Durée normale du travail dans les entreprises selon la division économique, établi par l’OFS), ce montant doit être porté à 5'617 fr. 15, correspondant à un salaire annuel de 67'405 fr. 80.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dd) L’office intimé a estimé qu’un abattement sur le revenu d’invalide ne se justifiait pas. Il n’y a pas lieu de s’écarter de cette appréciation. Né en 1989, le recourant, ressortissant suisse, est encore relativement jeune. Il est par ailleurs au bénéfice d’une expérience professionnelle acquise depuis 2010. Il ne présente dès lors aucune limitation liée à l’âge ou à la nationalité. Il convient en outre de souligner que les limitations fonctionnelles ont déjà été prises en compte dans la désignation d’une activité adaptée ainsi que dans le choix du salaire d’invalide déterminant pour le calcul de comparaison des revenus. Il s’ensuit que le revenu d’invalide doit être fixé à 67'405 fr. 80. d) Sur le vu de ce qui précède, la perte de gain s'élève à 11’645 fr. 90 (79'051 fr. 70 – 67'405 fr. 80) et le degré d'invalidité à 14,73% (79’051 fr. 70 – 67'405 fr. 80 / 79’051 fr. 70 x 100). En présence d’un préjudice inférieur à 40%, le droit à la rente n’est plus ouvert. e) Au final, il convient de constater que le recourant peut prétendre à une rente entière d’invalidité du 1 er décembre 2017 au 30 juin 2018 (cf. art. 88a al. 1 RAI), étant précisé qu’il n’y a pas lieu de tenir compte, pour fixer le droit à la rente, de la reprise par le recourant de son travail habituel à compter du 12 février 2018, dès lors qu’il est admis que cette activité n’est pas conforme à ses limitations fonctionnelles.</w:t>
      </w:r>
    </w:p>
    <w:p>
      <w:r>
        <w:rPr>
          <w:b/>
        </w:rPr>
        <w:t>E. 7</w:t>
      </w:r>
    </w:p>
    <w:p>
      <w:r>
        <w:t>A ce stade, il reste encore à examiner si le recourant peut prétendre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aa)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En l’occurrence, le recourant souffre d’une atteinte à la santé qui entraîne une perte de gain inférieure à 20%, de sorte que le droit à l’obtention d’une mesure de reclassement dans une nouvelle profession ne lui est en principe pas ouvert (cf. consid. 7b ci-dessus). Toutefois, il se prévaut de l’arrêt rendu par le Tribunal fédéral le 30 août 2016 (cause n° 9C_262/2016) pour solliciter l’octroi d’une mesure de reclassement professionnel. Dans cet arrêt, le Tribunal fédéral avait reconnu le droit à un reclassement à un jeune boulanger-pâtissier qualifié qui, dans une activité d’auxiliaire, ne subissait à court terme qu’une perte de gain de moins de 20%. Il a considéré que, dans de nombreuses branches professionnelles, le salaire initial une fois l’apprentissage terminé n’était pas plus élevé que certains salaires de manœuvre ou ne l’était que très peu, mais qu’il progressait plus rapidement par la suite. L’avancement professionnel et par conséquent les perspectives de gain étaient moins importants, à moyen et à long terme, dans le cas d’une activité de manœuvre que dans celui d’une profession apprise. Le recourant ne saurait rien tirer en sa faveur de cette jurisprudence, la question de l’équivalence devant être examinée en l’espèce au regard de son activité de façadier qu’il a exercée durant plus de six ans, à l’exclusion de l’activité de monteur-électricien, activité dont il est certes titulaire du CFC, mais qu’il n’a jamais voulu exercer (cf. rapport initial du 5 octobre 2017). C’est dès lors à juste titre que le droit à une mesure de reclassement professionnel lui a été refusé par la décision attaquée. Le fait que l’assureur-accidents lui ait reconnu un degré d’invalidité de 21% ne saurait rien changer au bien-fondé de la décision litigieuse.</w:t>
      </w:r>
    </w:p>
    <w:p>
      <w:r>
        <w:rPr>
          <w:b/>
        </w:rPr>
        <w:t>E. 8</w:t>
      </w:r>
    </w:p>
    <w:p>
      <w:r>
        <w:t>En définitive, le recours doit être très partiellement admis et la décision attaquée réformée, en ce sens que le recourant a droit à une rente entière d’invalidité du 1 er décembre 2017 au 30 juin 2018.</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arrêtés à 400 fr. et être mis par 100 fr. à la charge de l’office AI et par 300 fr. à la charge du recourant, qui n’obtient que partiellement gain de cause. b) Par ailleurs, le recourant qui obtient partiellement gain de cause avec l’assistance d’un mandataire professionnel, a droit à des dépens réduits, qu’il convient de fixer à 500 fr.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