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548 vom 5. August 2019</w:t>
      </w:r>
    </w:p>
    <w:p>
      <w:r>
        <w:t>VD Tribunal cantonal, 2019-08-05, FR</w:t>
      </w:r>
    </w:p>
    <w:p>
      <w:r>
        <w:rPr>
          <w:b/>
        </w:rPr>
        <w:t xml:space="preserve">Quelle: </w:t>
      </w:r>
      <w:r>
        <w:t>https://mcp.opencaselaw.ch/entscheid/vd_findinfo_Arr_t___2019___548</w:t>
      </w:r>
    </w:p>
    <w:p>
      <w:r>
        <w:t>FR: VD_FINDINFO Arrêt / 2019 / 548 du 5 août 2019</w:t>
      </w:r>
    </w:p>
    <w:p>
      <w:r>
        <w:t>IT: VD_FINDINFO Arrêt / 2019 / 548 del 5 agosto 2019</w:t>
      </w:r>
    </w:p>
    <w:p>
      <w:pPr>
        <w:pStyle w:val="Heading2"/>
      </w:pPr>
      <w:r>
        <w:t>Regeste</w:t>
      </w:r>
    </w:p>
    <w:p>
      <w:r>
        <w:t>DÉCISION DE RENVOI, ATTEINTE À LA SANTÉ PSYCHIQUE, ÉVALUATION DE L'INVALIDITÉ, REVENU D'INVALIDE, REVENU SANS INVALIDITÉ | 4 al. 1 LAI, 43 al. 1 LPGA, 6 LPGA, 7 al. 1 LPGA, 8 al. 1 LPGA</w:t>
      </w:r>
    </w:p>
    <w:p>
      <w:pPr>
        <w:pStyle w:val="Heading2"/>
      </w:pPr>
      <w:r>
        <w:t>Erwägungen</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et les références citées).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du 9 janvier 2015 consid. 5.3 et les références citées). Lorsque le syndrome de dépendance à l’alcool n’est ni la cause ni la conséquence d’une atteinte à la santé psychique ou somatique ayant valeur de maladie, l’alcoolodépendance constitue une affection primaire non constitutive d’invalidité au sens de la jurisprudence fédérale (TF 9C_23/2018 du 15 février 2018 consid. 5. 2 ; TF 9C_219/2007 du 3 avril 2008 consid. 3).</w:t>
      </w:r>
    </w:p>
    <w:p>
      <w:r>
        <w:rPr>
          <w:b/>
        </w:rPr>
        <w:t>E. 6</w:t>
      </w:r>
    </w:p>
    <w:p>
      <w:r>
        <w:t>a) Daté du 7 mars 2019, le rapport d’expertise établi par le Dr C.________ comporte une anamnèse riche (personnelle, professionnelle, médicale) et soignée. Il se fonde plus particulièrement, outre le dossier mis à la disposition de l’expert, sur l’examen neuropsychologique pratiqué le 6 février 2019 par R.________, un entretien de 89 minutes réalisé le 12 février 2019 avec l’expertisée ainsi qu’une discussion téléphonique avec la Dresse N.________ le 5 mars 2019. D’excellente facture, la motivation concernant les diagnostics retenus de même que les explications fournies quant à la divergence de position entre l’expert et les médecins ayant examiné la recourante font l’objet de considérations approfondies et minutieuses. Il en va de même s’agissant de l’évaluation de la capacité de travail de cette dernière. b) Afin de conférer pleine valeur probante à l’expertise judiciaire du 7 mars 2019, il reste encore à déterminer si l’expert a dégagé une appréciation concluante de la capacité de travail de la recourante à la lumière des indicateurs déterminants en l’espèce. aa) En premier lieu, les diagnostics ont été rendus de lege artis par l’expert, en référence à la codification internationale, soit la classification internationale des maladies, 10 ème révision (CIM-10). Sous l’intitulé « Discussion », l’expert explique de manière fouillée en quoi son analyse diffère de celle de la psychiatre traitant et les raisons pour lesquelles il n’a pas retenu d’autres pathologies. bb) En ce qui concerne le volet du degré de gravité fonctionnel de l’atteinte à la santé, le Dr C.________ examine les éléments pertinents qui l’ont conduit à poser les diagnostics de trouble mixte de la personnalité avec des caractéristiques émotionnellement labiles et une probable organisation psychotique, de syndrome de dépendance à l’alcool (utilisation continue) et de troubles cognitifs légers liés à la consommation d’alcool chronique ainsi que les répercussions fonctionnelles en découlant : « La question des diagnostics sera discutée de la façon suivante . Pour retenir formellement un trouble de déficit d’attention avec hyperactivité (TDAH), on devrait observer une concordance entre les plaintes présentes à l’âge adulte et celles observées durant l’enfance. Or, lorsque l’on effectue une anamnèse précise, selon les critères du DSM-5, on ne peut valider le fait que l’assurée manifestait clairement ce syndrome durant son enfance, en dépit des particularités psychiques qui se recoupent avec d’autres pathologies. L’assurée décrit des difficultés à canaliser ses pensées, ce qui se retrouve effectivement dans les TDAH, mais aussi dans d’autres troubles, notamment les organisations prépsychotiques ou psychotiques, les fonctionnements dits « à haut potentiel » et les troubles de la personnalité. Sur la base de l’évaluation neuropsychologique détaillée, réalisée par Mme R.________ et de notre discussion consensuelle du cas, nous ne pouvons valider formellement le fait que l’expertisée souffre d’un TDAH. Les manifestations comportementales d’un trouble de la personnalité restent au premier plan, en plus de la participation de la consommation d’alcool, qui rend certainement l’assurée encore plus désorganisée. Selon l’avis neuropsychologique, la plupart des personnes souffrant d’un trouble de la personnalité donnent des réponses qui se recoupent avec le TDAH, bien qu’elles n’en souffrent pas au sens strict. La question est donc ensuite de savoir si l’assurée souffre de traits pathologiques de personnalité (selon l’appréciation de la psychiatre de l’assurée) ou d’un trouble constitué selon les critères de la CIM-10. Les troubles de la personnalité débutent habituellement dans l’enfance. Dans le cas de l’assurée, son parcours scolaire aménagé pour « surdoués » a probablement déjà été le reflet de difficultés à se conformer aux normes. Dès l’âge de 11 ans, l’expertisée décrit de graves conflits familiaux et le début d’un alcoolisme sévère chez sa mère. Mme I.________ a ensuite développé à l’adolescence un trouble alimentaire, de type anorexique puis boulimique, comorbidité que l’on observe très fréquemment chez le sujet qui développe un trouble de la personnalité. Il s’agit d’un élément significatif, qui montre que l’assurée avait une faible assise identitaire dès l’adolescence, avec une perturbation de la perception du schéma corporel et des difficultés à gérer les émotions, les troubles alimentaires étant le reflet de cette faiblesse constitutive de la personnalité. Elle aurait dû être passablement soutenue pour achever ensuite sa formation de niveau gymnase et universitaire. La suite du parcours de l’assurée décrit une instabilité affective significative. L’assurée a adopté des schémas dysfonctionnels dès ses premières relations sentimentales, au cours desquelles elle décrit une tendance à être infantilisée et peu respectée. Sa relation conjugale aurait basculé dans la co-dépendance alcoolique, avec des relations houleuses et intenses, qui auraient été accompagnées de menaces de mort. Les schémas relationnels dysfonctionnels se seraient réactualisés dans la relation sentimentale actuelle de l’expertisée, selon les informations hétéro-anamnestiques donnés par sa psychiatre traitante. Comme c’est la règle dans les troubles de la personnalité, l’expertisée n’est pas entièrement consciente de ce type de dysfonctionnement. Elle peut être aveuglée par des mécanismes d’idéalisation qui ne lui permettent pas de prendre en compte certains aspects de la réalité. Le parcours professionnel de l’expertisée est également le reflet de cette faible organisation de la personnalité : il est très difficile de se représenter son CV, qui passe d’activités diverses, pas toujours en lien avec sa formation, comme p. ex. les activités « tupperware », la conciergerie ou la vente d’articles de jardinage de luxe. Les relations professionnelles n’ont en outre pas toujours été harmonieuses, si l’on se réfère à un poste où l’expertisée aurait mal vécu le stress et, selon son appréciation, « la jalousie » de collaboratrices. Le fait de former des collaborateurs et d’assumer de nombreuses séances avait dépassé les capacités adaptatives de l’assurée, reflet de sa faible capacité à gérer le stress. Toujours dans le sens d’un trouble de la personnalité, on observe des réactions rigides, inflexibles et impulsives. L’expertisée est certes demandeuse d’aide, mais elle ne peut prendre en compte certains aspects de sa pathologie, notamment la consommation d’alcool, dont la prise de conscience n’est que partielle. Son humeur est labile, l’estime de soi est chroniquement abaissée, bien que l’assurée ne soit pas cliniquement déprimée en ce moment (la faible estime de soi est donc constitutive de la personnalité). Face aux propositions thérapeutiques, Mme I.________ peut rapidement s’enfermer dans la méfiance. Des troubles caractériels semblent avoir compromis sa dernière tentative de sevrage en milieu institutionnel (s’oppose rapidement à une soignante et décide de mettre un terme, de façon impulsive, à sa prise en charge). Au vu des arguments qui précèdent, on peut considérer que l’assurée présente des modalités comportementales enracinées et durables avec des réactions inflexibles à des situations personnelles et sociales de nature variée. Il s’agit de déviations significatives des perceptions, des pensées, des sensations (émotions) et des relations à autrui par rapport à un individu moyen d’une culture donnée. Les répercussions dans le domaine affectif, social et professionnel sont significatives. L’expertisée remplit donc les critères généraux des troubles de la personnalité, et non ceux des traits pathologiques de personnalité. Le tableau clinique du trouble de la personnalité n’est toutefois pas spécifique. On retrouve plusieurs critères de la personnalité émotionnellement labile (impulsivité, flou dans les objectifs de vie, relations sentimentales instables avec crises émotionnelles, instabilité d’humeur et faible capacité à gérer les émotions) intriqués avec des manifestations plus psychotiques (manque d’organisation de la pensée, méfiance et rigidité psychique). Dans ce sens, un trouble mixte de la personnalité sera retenu, intégrant les éléments émotionnellement labiles et certaines caractéristiques psychotiques. La question de l’alcoolisme est ensuite plus facile à trancher. Comme développé plus haut dans la discussion, Mme I.________ présente une personnalité perturbée, répondant aux critères d’un trouble. Ce trouble occasionne des difficultés à gérer les émotions et un manque de structuration psychique. Il a été accompagné dès l’adolescence de troubles de comportement alimentaire, laissant présager le développement d’une future addiction. Les troubles alimentaires et les addictions ont en commun la faible gestion des émotions, l’impulsivité et la dynamique compulsive (recherche d’apaisement par les comportements alimentaires et la consommation de substances). Il s’agit donc d’un continuum, dont les prémices étaient actives à l’adolescence. Par conséquent, même si l’on ne peut soutenir un TDAH, qui expliquerait l’alcoolisme, un trouble de la personnalité doit être retenu, ce dernier ayant fait le lit de l’alcoolisme qui s’est possiblement développé dès l’âge de jeune adulte, et qui s’est manifestement renforcé dès la quarantaine. On peut donc soutenir que l’alcoolisme de l’expertisée est secondaire à son trouble de la personnalité, ce qui est habituel dans ce type de configuration psychopathologique. L’assurée consomme en ce moment une quantité significative d’alcool fort, bien que la consommation semble moindre que par le passé. Vu sa capacité à soutenir un entretien et à passer un examen neuropsychologique dans des conditions encore acceptables, on peut retenir les mécanismes de tolérance à la substance. Le désir puissant et compulsif de consommer est présent, de même que la difficulté à contrôler l’utilisation de la substance. Le syndrome de dépendance à l’alcool, avec utilisation continue, peut donc être posé à l’issue de la présente expertise. La question des répercussions de la consommation d’alcool est plus délicate à discuter. L’assurée se montre assez fluctuante dans sa présentation clinique. Elle peut parfois mieux s’organiser et « donner le change », alors qu’à d’autres périodes, elle est plus désorganisée et confuse. Lors de la passation de l’examen neuropsychologique, l’assurée semblait plus performante sur le plan cognitif que ce qui était observé lors de l’entretien psychiatrique (où ses capacités mnésiques et en calcul paraissaient plus perturbées que ce qui a été testé par Mme R.________). Les résultats de l’évaluation neuropsychologique sont apparus valides et cohérents. Les déficits constatés se situent dans la mémoire de travail, dans des fluctuations attentionnelles, dans de légères difficultés d’inhibition, mais avant tout dans la désorganisation observée au niveau de son comportement. Des ressources « purement cognitives » existent en ce qui concerne le raisonnement, les fonctions instrumentales, certaines performances mnésiques, verbales et visuo-spatiale, l’incitation, la planification, la programmation et la flexibilité mentale, ainsi qu’en attention sélective et soutenue. Au final, l’évaluation neuropsychologique retient une atteinte cognitive légère, qui n’aurait pas de grave répercussion au quotidien où dans la plupart des sollicitations professionnelles. Cette conclusion a cependant été discutée avec Mme R.________. Nous la relativisons dans le sens que l’expertisée disposerait théoriquement de ressources au niveau « purement cérébral ». Il est malgré tout difficile d’imaginer que l’assurée puisse fonctionner correctement en ce moment dans un métier d’ingénieur hautement spécialisé, avec la responsabilité de l’organisation et la gestion de projets. Les sollicitations professionnelles sont donc considérées dans une activité de plus bas seuil. On doit également tenir compte des observations concrètes dans le milieu, qui sont plus pessimistes que ce qui ressort de l’examen neuropsychologique. La dispersion de la pensée, qui est plus à relier au trouble de la personnalité qu’aux déficits neuropsychologiques, a souvent été observée comme un facteur limitant. Il en était de même en ce qui concerne l’instabilité d’humeur et la difficulté à gérer les émotions, qui sont avant tout reliés au trouble de la personnalité, même si ces difficultés sont encore majorées par la consommation d’alcool. En définitive, les limitations fonctionnelles ne sont donc pas que neuropsychologiques. Il faut tenir compte de l’interaction négative avec le trouble de la personnalité, dont certaines caractéristiques peuvent encore être renforcées par l’alcoolisme actif. » L’expert a également décrit les traitements thérapeutiques auxquels s’est soumise la recourante sur le plan psychiatrique, tout en formulant diverses propositions : « En ce qui concerne les aspects thérapeutiques , il s’agit d’une situation difficile à stabiliser, vu l’intrication du trouble de la personnalité avec la dépendance à l’alcool. Le fait que l’assurée ait ressenti une amélioration de son fonctionnement mental, avec des doses faibles de méthylphénidate, n’est pas suffisant pour valider la problématique de TDAH. Les troubles de la pensée, liés au trouble de la personnalité, peuvent également avoir été améliorés initialement par ce médicament, que l’expertisée n’aurait toutefois pas supporté à des doses supérieures, ce qui renforce l’idée qu’il ne s’agit pas, dans cette situation, d’un pur TDAH. Par contre, il est clair que la consommation d’alcool représente un frein important à l’insertion socioprofessionnelle. Si l’assurée adoptait les mêmes attitudes d’alcoolisation que ce qui a été observé lors de la fréquentation des cours [...], il est à craindre qu’aucun employeur ne souhaite la conserver après une hypothétique période d’essai. En outre, les arguments avancés par sa psychiatre traitante, à savoir que l’assurée peut mieux contrôler sa consommation d’alcool si elle est occupée par des mesures, ne s’est pas vérifié dans le concret. Au contraire, ma consoeur n’était pas au courant du fait que la consommation d’alcool avait été constatée lors du suivi […]. Des mécanismes de banalisation sont certainement en œuvre, avec un déni partiel de la problématique qui ne permet pas à Mme I.________ de juger de la mesure de ses comportements liés à l’alcool. Un traitement de sevrage institutionnel aurait à nouveau du sens, à condition que l’expertisée le relaie avec un suivi résidentiel de postcure. Une fois sevrée, il est probable que l’assurée reste assez désorganisée sur le plan de sa personnalité. Plus qu’un traitement orienté sur le TDAH, qui ne peut être formellement retenu, il serait intéressant de proposer à l’assurée un neuroleptique atypique, susceptible de diminuer sa désorganisation psychique. Ce n’est toutefois qu’avec une période suffisante d’abstinence que l’on pourra se positionner à moyen et long terme sur sa capacité de travail. » De même, le Dr C.________ a dressé en ces termes un tableau de la structure de la personnalité de la recourante : « Lors de l’entretien, l’expertisée ne manifeste pas de trouble de la conscience ou de l’orientation. En ce qui concerne les troubles de l’attention et de la mémoire, on peut observer des difficultés de concentration (l’expertisée ne parvient pas à réaliser une épreuve de soustractions simples, elle s’embrouille et devient rapidement perplexe). Elle effectue une erreur lorsqu’elle récite les mois de l’année à l’envers. En ce qui concerne les troubles de la fixation, l’expertisée ne peut rappeler qu’un mot sur trois après quelques minutes. Elle inverse les chiffres (43 en lieu et place de 34) et ne peut retrouver le mot qu’avec un indice de rappel. L’assurée situe les dates de son anamnèse de façon qui semble correcte, bien que son discours soit souvent dispersé. En ce qui concerne les troubles formels de la pensée, la pensée est fortement circonstanciée, débouchant par moments sur une fuite des idées moyenne (discours digressif). L’expertisée décrit des ruminations et des pensées envahissantes. A l’observation, on ne constate pas de réponse à côté, de barrage de la pensée, d’incohérence ou de néologisme. A la rubrique craintes et obsessions, l’expertisée se dit méfiante dans ses relations interpersonnelles. Dans la relation, elle n’est pas interprétative ou méfiante. Elle ne manifeste pas de symptôme hypocondriaque. On ne constate pas de symptôme phobique sévère, ni d’obsession ou de compulsion. Il n’y a pas de symptôme délirant. Dans les troubles des perceptions, l’expertisée ne décrit pas de phénomène d’illusion. Il n’y a pas d’hallucination acoustico-verbale, auditive, visuelle, cénesthésique ou olfactive-gustative. En ce qui concerne les troubles du Moi, l’expertisée ne décrit pas de sentiment de déréalisation ou dépersonnalisation. Il n’y a pas de devinement ou de vol de la pensée, de pensée imposée, ni d’autre expérience d’influence. En ce qui concerne les troubles affectifs, l’expertisée est par moments perplexe (notamment lorsque les épreuves de calcul sont administrées). On ne constate pas d’anesthésie, d’ambivalence, de discordance, de labilité, d’incontinence ou de monotonie affective. On n’observe pas de baisse de l’humeur, ni de baisse de l’éprouvé vital. L’expertisée est par moments légèrement anxieuse dans la relation (avec des comportements d’auto-contact). Elle n’est pas euphorique, dysphorique ou irritable. Elle signale par contre une agitation intérieure. On ne relève pas d’idée pathologique de culpabilité. L’expertisée exprime de légères idées de dévalorisation (faible estime de soi). En ce qui concerne les troubles du dynamisme et de la psychomotricité, il n’y a pas de diminution ou d’inhibition pathologique du dynamisme. Il n’y a pas d’agitation motrice, de parakinésie, de maniérisme ou de bizarrerie. L’expertisée n’est pas théâtrale. Ses propos sont par moments légèrement logorrhéiques. Je n’ai pas constaté de particularité nycthémérale. Dans les autres troubles, l’assurée ne décrit pas de baisse pathologique de la sociabilité, ni de tendance suicidaire. » Quant au contexte social, l’expert a mis en évidence ce qui suit : « L’expertisée se montre peu précise sur le descriptif de sa vie sociale. Elle semble pouvoir investir un réseau amical. Elle ne décrit pas de grande difficulté avec ses enfants. Elle évoque une relation affective, dont les caractéristiques de soutien sont toutefois à relativiser, selon les informations fournies par sa psychiatre traitante. L’alcoolisme, dont l’assurée paraît minimiser l’importance, est par contre de nature à susciter le rejet dans le monde professionnel. » cc) Concernant finalement le critère de la cohérence, particulièrement pertinent dans le cas de troubles psychiques afin de parvenir à une appréciation globale des limitations fonctionnelles, l’expert a répondu en ces termes aux questions posées à ce propos : « 6. Cohérence 6.1              Est-ce que le tableau clinique est cohérent, compte tenu du ou des diagnostic(s) retenu(s) ou y a-t-il des atypies ? L’intrication d’un trouble de la personnalité, avec une consommation abusive d’alcool accompagnée de troubles cognitifs est cohérente par rapport à ce qui a été observé dans l’accompagnement récent de l’expertisée. 6.2              Est-ce que ce qui est connu de l’évolution correspond à ce qui est attendu pour le ou les diagnostic(s) retenu(s) ? Oui, l’intrication des pathologies correspond à ce qui est attendu pour ce type de trouble. 6.3              Est-ce qu’il y a des discordances entre les plaintes et le comportement de l’assurée, entre les limitations alléguées et ce qui est connu des activités et de la vie quotidienne de l’assurée ? La désorganisation psychique de Mme I.________ est concordante avec ses plaintes (elle est consciente d’être dispersée). Lors de la présente investigation, l’expertisée a démontré un comportement peu structuré, également observé lors de l’examen neuropsychologique. Ce comportement est compatible avec l’intrication des pathologies dont elle souffre, dont certains aspects sont même banalisés (l’alcoolisme, ce qui est souvent le propre du sujet qui en souffre, le déni étant fréquent). Par ailleurs, l’assurée ne décrit pas de limitation significative des activités de la vie quotidienne, les troubles se manifestent avant tout lorsqu’une performance professionnelle est attendue. 6.4              Est-ce que l’intéressée s’est engagée ou s’engage dans les traitements qui sont raisonnablement exigibles et possiblement efficaces dans son cas ou n’a-t-elle que peu ou pas de demandes de soins ? L’assurée formule une demande de soins et elle est prise en charge sur le plan psychiatrique. Elle paraît s’accrocher en ce moment à une « étiquette » de TDAH, validée jusqu’à ce jour par sa thérapeute. L’évaluation actuelle ne permet toutefois pas de confirmer une telle pathologie, alors qu’un trouble significatif de la personnalité apparaît à l’issue de la présente expertise. La question du traitement de l’alcoolisme est délicate : le sujet qui en souffre a souvent tendance à le banaliser, ce qui est en partie le cas de l’expertisée, qui utilise « l’étiquette TDAH » comme rationalisation pour éviter de se confronter à la réalité de sa dépendance à l’alcool. Il s’agit toutefois d’un processus psychopathologique de nature inconsciente, inhérent à l’organisation de personnalité de l’assurée. » c) Sur le vu de ce qui précède, les répercussions fonctionnelles des troubles psychiques diagnostiqués par le Dr C.________ sur la capacité de travail de la recourante emportent la conviction et sont dépourvues de contradictions. Elles se fondent sur une grille d’indicateurs pertinents en accord avec la jurisprudence récente du Tribunal fédéral en la matière. d) Le rapport d’expertise du Dr C.________ du 7 mars 2019 satisfait aux réquisits jurisprudentiels résumés ci-avant (cf. considérant 4b ci-dessus) pour se voir conférer pleine valeur probante. Il comporte une anamnèse complète et fouillée de la situation de l’assurée, contient une discussion claire et motivée des diagnostics retenus et débouche sur des conclusions médicales étayées et convaincantes. Celles-ci peuvent donc être suivies. Elles ne sont au demeurant pas contestées par les parties, l’intimé s’y ralliant pour sa part expressément. e) Partant, il y a lieu de retenir que la recourante présente, depuis le mois de mai 2015, une capacité de travail de 100% dans une activité adaptée, avec un rendement diminué de 30%. Ainsi, la décision attaquée s’avère mal fondée en tant qu’elle se base sur l’absence d’atteinte à la santé invalidante. Ces atteintes dûment posées par l’expert, tout comme le degré de capacité de travail résiduelle de l’assurée dans une activité adaptée, il convient de procéder au calcul du degré d’invalidité.</w:t>
      </w:r>
    </w:p>
    <w:p>
      <w:r>
        <w:rPr>
          <w:b/>
        </w:rPr>
        <w:t>E. 7</w:t>
      </w:r>
    </w:p>
    <w:p>
      <w:r>
        <w:t>a) Pour évaluer le taux d’invalidité des assurés exerçant une 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 travail équilibré (revenu avec invalidité) (art. 16 LPGA et 28 a al. 1 LAI). b) En l’occurrence, l’office intimé relève la difficulté d’apprécier les revenus déterminants et souhaite soumettre le dossier à un spécialiste en question professionnelle afin qu’il analyse attentivement l’aspect économique, en particulier la question des revenus avec et sans invalidité. c) Il se justifie par conséquent d’ordonner le renvoi de la cause à l’office AI – à qui il appartient au premier chef d’instruire, conformément au principe inquisitoire qui régit la procédure dans le domaine des assurances sociales (art. 43 al. 1 LPGA) – lequel, convenant de la nécessité de reprendre, respectivement de compléter l’instruction, se voit retourner le dossier afin de procéder à l’ensemble des mesures d’instruction permettant de calculer le degré d’invalidité en comparant les revenus avec et sans invalidité ainsi obtenus. Cela fait, il incombera à l’office intimé de rendre une nouvelle décision, le cas échéant sujette à recours, statuant sur les prétentions de la recourante.</w:t>
      </w:r>
    </w:p>
    <w:p>
      <w:r>
        <w:rPr>
          <w:b/>
        </w:rPr>
        <w:t>E. 8</w:t>
      </w:r>
    </w:p>
    <w:p>
      <w:r>
        <w:t>En définitive, le recours doit être admis et la décision attaquée annulée, la cause étant renvoyée à l’office intimé pour complément d’instruction au sens des considérants, puis nouvelle décision.</w:t>
      </w:r>
    </w:p>
    <w:p>
      <w:r>
        <w:rPr>
          <w:b/>
        </w:rPr>
        <w:t>E. 9</w:t>
      </w:r>
    </w:p>
    <w:p>
      <w:r>
        <w:t>a) La procédure est onéreuse; en principe, la partie dont les conclusions sont rejetées supporte les frais de procédure (art. 69 al. 1bis LAI et 49 al. 1 LPA-VD, applicable par renvoi des art. 91 et 99 LPA-VD). En l’espèce, les frais de justice doivent être arrêtés à 400 fr. et mis à la charge de l’office AI, qui succombe. b) Il n'y a au surplus pas lieu d'allouer une indemnité de dépens, aucun conseil d'office n'ayant été désigné.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