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532 vom 28. Juni 2019</w:t>
      </w:r>
    </w:p>
    <w:p>
      <w:r>
        <w:t>VD Tribunal cantonal, 2019-06-28, FR</w:t>
      </w:r>
    </w:p>
    <w:p>
      <w:r>
        <w:rPr>
          <w:b/>
        </w:rPr>
        <w:t xml:space="preserve">Quelle: </w:t>
      </w:r>
      <w:r>
        <w:t>https://mcp.opencaselaw.ch/entscheid/vd_findinfo_Arr_t___2019___532</w:t>
      </w:r>
    </w:p>
    <w:p>
      <w:r>
        <w:t>FR: VD_FINDINFO Arrêt / 2019 / 532 du 28 juin 2019</w:t>
      </w:r>
    </w:p>
    <w:p>
      <w:r>
        <w:t>IT: VD_FINDINFO Arrêt / 2019 / 532 del 28 giugno 2019</w:t>
      </w:r>
    </w:p>
    <w:p>
      <w:pPr>
        <w:pStyle w:val="Heading2"/>
      </w:pPr>
      <w:r>
        <w:t>Regeste</w:t>
      </w:r>
    </w:p>
    <w:p>
      <w:r>
        <w:t>CURATELLE DE PORTÉE GÉNÉRALE, MAINLEVÉE{LP}, SUPPRESSION{EN GÉNÉRAL}, MESURE PROVISIONNELLE | 399 al. 2 CC, 445 al. 3 CC</w:t>
      </w:r>
    </w:p>
    <w:p>
      <w:pPr>
        <w:pStyle w:val="Heading2"/>
      </w:pPr>
      <w:r>
        <w:t>Erwägungen</w:t>
      </w:r>
    </w:p>
    <w:p>
      <w:r>
        <w:rPr>
          <w:b/>
        </w:rPr>
        <w:t>E. 1.1</w:t>
      </w:r>
    </w:p>
    <w:p>
      <w:r>
        <w:t>Le recours est dirigé contre une ordonnance de mesures provisionnelles poursuivant une enquête en institution d’une curatelle en faveur de la recourante, modifiant une curatelle de représentation et de gestion provisoire, au sens des art. 394 al. 1 et 395 al. 1 CC, ordonnée à titre superprovisionnel en faveur de C.________ en une curatelle de portée générale provisoire au sens de l’art. 398 CC, et maintenant en qualité de curatrice provisoire Q.________, assistante sociale auprès de l’OCTP.</w:t>
      </w:r>
    </w:p>
    <w:p>
      <w:r>
        <w:rPr>
          <w:b/>
        </w:rPr>
        <w:t>E. 1.2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 e éd., Bâle 2018, n. 42 ad art. 450 CC, p. 2825). L'art. 446 al. 1 CC, applicable par renvoi de l’art. 314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En outre, la Chambre des curatelles n’est pas liée par les conclusions des parties.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la personne concernée, le présent recours est recevable. L’écriture de la recourante et les pièces produites à l’appui de celle-ci sont en revanche irrecevables, car déposées hors délais. Dûment interpellée, l’autorité de protection s’est référée à sa décision.</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En l'espèce, la décision querellée a été prise par la Juge de paix du district de Lausanne, compétente en tant qu’autorité de protection du domicile de la personne concernée (art. 442 al. 1 CC). Cette autorité a rendu sa décision après que la personne concernée s’est exprimée devant elle le 14 mars 2019, de sorte que le droit d’être entendu de celle-ci a été respecté. La décision entreprise est donc formellement correcte et peut être examinée sur le fond.</w:t>
      </w:r>
    </w:p>
    <w:p>
      <w:r>
        <w:rPr>
          <w:b/>
        </w:rPr>
        <w:t>E. 3.1</w:t>
      </w:r>
    </w:p>
    <w:p>
      <w:r>
        <w:t>La recourante indique qu’elle a demandé une assistance administrative pour l’aider à débloquer la situation avec différents services, qu’avec la curatrice nommée, la répartition des tâches administratives avait été convenue, que tout s’est compliqué par la redirection automatique de sa correspondance auprès de l’OCTP (factures, compte bancaire, gérance, assurance, téléphone, etc.), que la curatrice, inondée de toutes ces informations et des nombreux autres dossiers qu’elle gérait, n’a pas donné suite aux demandes en cours, aux factures et à ses courriers dans les délais appropriés, ce qui a entraîné de nombreux rappels, une mise en poursuite et un retard important dans le suivi administratif de son dossier. Elle considère que, l’assistance fournie n’étant pas en adéquation avec sa demande et ayant compliqué sa situation, la mesure doit être levée. Elle fait en outre valoir que l’institution d’une curatelle de portée générale provisoire serait en tout état de cause disproportionnée par rapport à sa capacité de gérer seule sa situation et à son entière capacité de discernement.</w:t>
      </w:r>
    </w:p>
    <w:p>
      <w:r>
        <w:rPr>
          <w:b/>
        </w:rPr>
        <w:t>E. 3.2.1</w:t>
      </w:r>
    </w:p>
    <w:p>
      <w:r>
        <w:t>Les conditions matérielles de l'art. 390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la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Commentaire du droit de la famille [CommFam], Protection de l’adulte, Berne 2013, nn. 16 et 17, pp. 387 ss ; TF 5A_417/2018 du 17 octobre 2018, SJ 2019 I p. 127).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2326). L’état de faiblesse doit avoir encore pour conséquence l’incapacité, totale ou partielle, de la personne concernée d'assurer elle-même la sauvegarde de ses intérêts ou de désigner un représentant pour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2012, n. 5.10, p. 138 ; TF 5A_417/2018 du 17 octobre 2018, SJ 2019 I p. 127). Les principes de proportionnalité et de subsidiarité sont applicables à toute intervention de l’Etat qui porte atteinte à un droit fondamental. Ces principes, sont ancrés dans la Constitution fédérale respectivement aux art. 5a et 36 al. 3 Cst. (Constitution fédérale du 18 avril 1999 ; RS 101). Regroupés sous le terme générique de proportionnalité, ils sont subdivisés en trois règles distinctes et complémentaires : l’aptitude, la nécessité et la proportionnalité au sens étroit. Ils ont été expressément introduits dans le nouveau droit de protection de l’adulte et de l’enfant à l’art. 389 CC qui consacre la subsidiarité de la mesure de protection par rapport à d’autres formes d’aide, privées ou publiques (al. 1 ch. 1), et aux mesures personnelles anticipées ou appliquées de plein droit (al. 1 ch. 2) ainsi que les principes de nécessité, d’adhésion et d’aptitude (« une mesure nécessaire et appropriée », al. 2). La règle d’aptitude veut qu’une mesure choisie soit propre à atteindre le but visé. Il faut que le moyen mis en œuvre par l’autorité puisse effectivement permettre de réaliser l’objectif d’intérêt public qu’elle s’est fixé. Ainsi, les mesures prises par l’autorité doivent garantir « l’assistance et la protection de la personne qui a besoin d’aide » (art. 388 al. 2 CC). La règle de la nécessité porte sur la comparaison des divers moyens disponibles ou envisageables. Non seulement la mesure restrictive doit être apte à produire le résultat escompté, mais encore faut-il qu’elle soit la seule à même de le faire, c’est-à-dire qu’il n’y en a pas d’autres, plus respectueuses des libertés, qui soient aussi efficaces. La loi prévoit ainsi que les mesures de protection de l’adulte n’entrent en jeu que si d’autres moyens ne permettent pas de remédier au besoin de protection, les solutions élaborées par la personne elle-même ou d’ordre privé rendant vaine l’intervention de l’autorité de protection tant qu’elles répondent aux besoins objectifs de la personne concernée. Enfin, la proportionnalité au sens étroit implique un rapport raisonnable entre la restriction et, dans le cas particulier, la liberté compromise. Allant plus loin que la simple comparaison, elle implique l’idée de balance, d’évaluation et de pesées d’intérêts en présence (sur le tout : Kühnlein, Les droits fondamentaux et le principe de subsidiarité, RMA 2/2019, pp. 102-104). En vertu de l’art. 399 al. 2 CC, l’autorité de protection de l’adulte lève la curatelle si elle n’est plus justifiée, d’office ou à la requête de la personne concernée ou de l’un de ses proches. Conformément au principe de proportionnalité, toute mesure doit être levée lorsqu’elle n’apparaît plus nécessaire. Cela peut résulter de circonstances de fait (par ex. la personne concernée n’a plus besoin d’aide, ou celle-ci peut lui être fournie par son entourage ou la mission ponctuelle du curateur est terminée) ou d’une appréciation différente de l’autorité. La curatelle peut être purement et simplement levée, sans remplacement. A l’inverse, la modification peut résulter de la nécessité de renforcer ou de compléter la mesure lorsque le besoin d’aide ou les tâches à accomplir s’accroissent (Meier, Droit de la protection de l’adulte, op. cit. nn. 918-923, pp. 443-445).</w:t>
      </w:r>
    </w:p>
    <w:p>
      <w:r>
        <w:rPr>
          <w:b/>
        </w:rPr>
        <w:t>E. 3.2.2</w:t>
      </w:r>
    </w:p>
    <w:p>
      <w:r>
        <w:t>Une curatelle de représentation est instituée lorsque la personne qui a besoin d'aide ne peut accomplir certains actes et doit de ce fait être représentée    (art. 394 al. 1 CC).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nn. 15 à 26 ad art. 394 CC, pp. 439 ss, et n. 11 ad art. 395 CC, p. 452 ; Meier, Droit de la protection de l'adulte, op. cit., n. 818, p. 405). La curatelle de représentation comprendra très généralement la gestion du patrimoine (art. 395 CC). Il ne s’agit pas alors d’une curatelle combinée au sens de l’art. 397 CC, mais bien d’une seule et même mesure, car la curatelle de l’art. 393 CC n’est qu’une forme spéciale de curatelle de représentation et non une mesure de protection distincte (Meier, CommFam, op. cit., n. 3 ad art. 395 CC, p. 450 ; Meier, Droit de la protection de l'adulte, op. cit., nn. 813 et 833, pp. 403 et 410).</w:t>
      </w:r>
    </w:p>
    <w:p>
      <w:r>
        <w:rPr>
          <w:b/>
        </w:rPr>
        <w:t>E. 3.2.3</w:t>
      </w:r>
    </w:p>
    <w:p>
      <w:r>
        <w:t>Lorsque l'autorité de protection de l'adulte institue une curatelle de représentation ayant pour objet la gestion du patrimoine, elle détermine les biens sur lesquels portent les pouvoirs du curateur (art. 395 al. 1 CC). Elle peut soumettre à la gestion tout ou partie des revenus ou de la fortune, ou l'ensemble des biens.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 835 ss, p. 411).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La curatelle de gestion a pour objectif la protection du patrimoine. Sa mise en œuvre peut avoir des effets indirects sur l'assistance personnelle. Cependant, les tâches d'assistance personnelle comme telles doivent faire l'objet d'une curatelle d'accompagnement (art. 393 CC) ou de représentation stricto sensu (art. 394 CC ; Meier, CommFam, op. cit., n. 13 ad art. 395 CC, p. 453).</w:t>
      </w:r>
    </w:p>
    <w:p>
      <w:r>
        <w:rPr>
          <w:b/>
        </w:rPr>
        <w:t>E. 3.2.4</w:t>
      </w:r>
    </w:p>
    <w:p>
      <w:r>
        <w:t>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(art. 397 CC a contrario, Meier, Droit de la protection de l’adulte, op. cit., n. 901, p. 434). Destinée à remplacer l'interdiction des art. 369 ss aCC, cette mesure est la plus incisive prévue par le nouveau droit de protection de l'adulte (Meier, ibid., n. 890, p. 430). Pour qu'une curatelle de portée générale soit instituée, les conditions de l'art. 390 CC doivent être réalisées. Conformément au principe de subsidiarité (art. 389 CC), elle n'est prononcée qu'en dernier recours par l'autorité de protection (Meier, ibid., nn. 891-892, p. 430), soit lorsque des mesures plus ciblées sont insuffisantes (Guide pratique COPMA 2012,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Droit de la protection de l’adulte, op. cit., n. 893, p. 431). L'incapacité durable de discernement n'est mentionnée qu'à titre d'exemple et ne saurait être comprise comme une condition stricte d'institution d'une mesure de curatelle de portée générale (Guide pratique COPMA 2012,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2012, n. 5.52, p. 155 ; sur le tout : JdT 2013 III 44). La mesure concerne également les personnes « que l’on veut sciemment priver de l’exercice des droits civils parce qu’il serait irresponsable de continuer à les laisser accomplir des actes juridiques » (Message du 28 juin 2006 concernant la révision du code civil suisse [Protection de l’adulte, droit des personnes et droit de la filiation], FF 2006, p. 6682). Il s’agit de personnes qui sont actives de manière étendue sur la scène juridique et dont les intérêts peuvent être menacés de façon importante (risque d’actes contraires à leurs intérêts, risque d’être victimes des abus de tiers), mais qui refusent ou ne sont pas capables de s’abstenir de tels actes et de coopérer avec un curateur investi de pouvoirs d’accompagnement (Meier, Droit de la protection de l’adulte, op. cit., n. 897, p. 433). L'institution d'une curatelle de portée générale (398 CC) en raison d'un trouble psychique (390 al. 1 ch. 1 CC) ne peut être rendue que sur la base d'une expertise externe et indépendante (TF 5A_843/2013 du 13 janvier 2014).</w:t>
      </w:r>
    </w:p>
    <w:p>
      <w:r>
        <w:rPr>
          <w:b/>
        </w:rPr>
        <w:t>E. 3.2.5</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Ainsi, le retrait de l'exercice des droits civils peut constituer provisoirement l' ultima ratio , si le motif fondant l'instauration de la curatelle de portée générale est hautement vraisemblable (Steck, in CommFam, op. cit., n. 10 ad art. 445 CC). S’agissant d’une mesure provisoire, il suffit que la cause et la condition soient réalisées à première vue (JT 2005 III 51). Le prononcé de mesures provisionnelles présuppose l’urgence, ce qui ne ressort pas expressément de l’art. 445 al. 1 CC, mais bien du caractère « nécessaire » exigé par cette disposition ainsi que de l’ « urgence particulière » requise par l’art. 445 al. 2 CC pour le prononcé de mesures préprovisionnelles ; tant qu’il apparaît soutenable d’attendre jusqu’à la décision au fond pour ordonner une mesure, celle-ci ne présente pas de caractère d’urgence et n’est donc pas nécessaire au sens de l’art. 445 al. 1 CC ; il n’y a urgence que s’il apparaît nécessaire de prendre immédiatement la mesure en question pour éviter que le but et le résultat de la procédure au fond ne soient compromis ; il faut que l’omission de prendre immédiatement celle-ci entraîne un préjudice considérable que la personne concernée, respectivement son entourage, n’est pas à même d’écarter d’elle-même. S’agissant d’une mesure provisoire, il suffit que la cause et la condition soient réalisées à première vue (JdT 2005 III 51).</w:t>
      </w:r>
    </w:p>
    <w:p>
      <w:r>
        <w:rPr>
          <w:b/>
        </w:rPr>
        <w:t>E. 3.4</w:t>
      </w:r>
    </w:p>
    <w:p>
      <w:r>
        <w:t>En l’occurrence, la recourante a requis une mesure de curatelle le 6 décembre 2018, indiquant qu’elle s’était retrouvée en burn out, être au bord de l’hospitalisation avec deux enfants à charge, dont une fille autiste asperger, et ne pas parvenir à obtenir les aides, notamment financières, dont elle avait besoin, quel que soit l’organisme auquel elle s’adressait. Au regard des éléments invoqués et de l’aide sollicitée, l’autorité de protection a institué en faveur de l’intéressée une curatelle de représentation et de gestion provisoire à titre superprovisionnel, nommé Q.________ comme curatrice provisoire et convoqué les parties à une audience de mesures provisionnelles. A l’audience du 18 janvier 2019, la curatrice a expliqué que la situation de l’intéressée ne s’était pas complètement débloquée, que la collaboration avec celle-ci était bonne et que la curatelle lui paraissait justifiée. Pour sa part, C.________ a déclaré que la collaboration avec la curatrice se passait bien et qu’en l’absence de stabilité financière dans sa vie, l’aide de celle-ci était utile, puis, les 19 février et 1 er mars 2019, elle a demandé la levée de la mesure prononcée le 11 décembre 2018, soutenant qu’elle n’était pas parvenue à s’exprimer à l’audience et rappelant qu’elle avait fait une demande de curatelle volontaire pour être représentée administrativement, pour qu’il y ait une coordination entre les divers services concernés et pour qu’elle soit représentée et déchargée en conséquence d’une montagne de paperasse, ce qui n’avait pas été le cas, et qu’au contraire, la curatelle lui causait plus d’angoisses, sa situation financière avait empiré, la curatrice était surchargée et ne pouvait faire davantage qu’elle, qui était apte à gérer ses factures et connaissait son dossier par cœur. La curatrice a indiqué le 6 mars 2019 que la collaboration avec l’intéressée était difficile, laquelle refusait de signer certains documents indispensables pour mener à bien le mandat. Le 11 mars 2019, la Dresse X.________ et la psychologue L.________ ont certifié avoir constaté durant les mois écoulés une péjoration de l’état de santé psychique et physique de C.________, avec notamment des grippes, des états infectieux, des douleurs, des vomissements, mais aussi des crises d’angoisses et de pleurs avec insomnies et épuisement, que les problèmes administratifs et financiers liés au dossier compliqué de leur patiente généraient régulièrement des crises d’angoisses, que la curatelle prononcée lui procurait, selon elle, encore plus de stress qu’auparavant, entraînant une nouvelle péjoration de son état de santé avec désorganisation tant au niveau administratif que de l’engagement dans les soins, et que pour elles, l’enjeu étant qu’un cadre contenant et sécurisant puisse aider leur patiente à reprendre pied d’un point de vue financier et administratif et lui permettre d’adhérer à un projet thérapeutique de soin en vue d’un véritable rétablissement. A l’audience du 14 mars 2019, la recourante a réitéré qu’elle préférait gérer ses affaires seules, que la mesure sollicitée n’avait plus d’utilité dès lors que la question de ses indemnités avait été résolue, qu’elle pouvait désormais compter sur l’appui de ses parents et était épaulée par son compagnon, lequel a confirmé que l’institution de la curatelle avait perturbé l’intéressée plus encore et que rien ne poussait à son maintien ; la curatrice a reconnu que C.________ possédait les compétences administratives pour accomplir seule des démarches, mais que les préoccupations sur le plan médical demeuraient. Compte tenu des angoisses, des insomnies et de l’épuisement dont souffre la recourante, reconnues par cette dernière et confirmées par le certificat médical, la cause d’une mesure paraît prima facie réalisée. Force est toutefois de constater que la mesure instituée n’a pas permis de clarifier et débloquer la situation administrative mieux que n’aurait pu le faire l’intéressée elle-même et que la mesure querellée a au contraire accru les angoisses de la recourante et généré plus de problèmes qu’elle n’en a résolus. En ce sens, la mesure choisie n’a pas permis de garantir l’assistance et la protection de la recourante, qui avait de sa propre initiative sollicité, à la suite d’un burn out , un appui ponctuel pour obtenir les aides, notamment financières, dont elle avait besoin pour vivre. Ainsi si le besoin de protection de l’intéressée peut se justifier, il est difficile en l’état d’en cerner l’ampleur. L’intéressée disposant en soi des compétences administratives nécessaires à la gestion de ses affaires, la mesure querellée ne paraît pas nécessaire ni appropriée, d’autant que la recourante est désormais épaulée par son compagnon et peut compter sur l’aide de ses parents. Les conditions imposées par l’art. 398 CC pour instaurer une curatelle de portée générale n’étant pas réalisées au stade de la vraisemblance inhérente aux mesures provisionnelles, la situation de faiblesse et le besoin de protection n’étant pas suffisamment avérés, la mesure ordonnée doit être levée, ce qui n’empêche pas la poursuite de la procédure au fond, notamment la mise en œuvre de l’expertise déjà ordonnée, durant laquelle la recourante pourra « expérimenter » sa reprise en main. Le fait que la curatrice professionnelle ne se soit pas déterminée sur le recours, alors qu’elle en a été requise, appuie en ce sens la thèse de la personne concernée.</w:t>
      </w:r>
    </w:p>
    <w:p>
      <w:r>
        <w:rPr>
          <w:b/>
        </w:rPr>
        <w:t>E. 4</w:t>
      </w:r>
    </w:p>
    <w:p>
      <w:r>
        <w:t>En conclusion, le recours est admis et la décision attaquée doit être réformée dans le sens des considérants qui précèdent, l’enquête en institution d’une curatelle ouverte en faveur de l’intéressée étant poursuivie. Le présent arrêt peut être rendu sans frais judiciaires de deuxième instance (art. 74a al. 4 TFJC [tarif du 28 septembre 2010 des frais judiciaires civils, RSV 270.11.5]). Par ces motifs, la Chambre des curatelles du Tribunal cantonal, statuant à huis clos, prononce : I. Le recours est admis. II. L’ordonnance est réformée aux chiffres II à VI de son dispositif comme il suit : II à V : supprimés ; VI. dit que l’ordonnance est rendue sans frais. Elle est confirmée pour le surplus. III. Les frais judiciaires de deuxième instance sont laissés à la charge de l’Etat. I V. L'arrêt est exécutoire. Le président :              Le greffier : Du L'arrêt qui précède, dont la rédaction a été approuvée à huis clos, est notifié à : ‑ Mme C.________, ‑ M. B.________, Office des curatelles et tutelles professionnelles,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