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466 vom 8. Juli 2019</w:t>
      </w:r>
    </w:p>
    <w:p>
      <w:r>
        <w:t>VD Tribunal cantonal, 2019-07-08, FR</w:t>
      </w:r>
    </w:p>
    <w:p>
      <w:r>
        <w:rPr>
          <w:b/>
        </w:rPr>
        <w:t xml:space="preserve">Quelle: </w:t>
      </w:r>
      <w:r>
        <w:t>https://mcp.opencaselaw.ch/entscheid/vd_findinfo_Arr_t___2019___466</w:t>
      </w:r>
    </w:p>
    <w:p>
      <w:r>
        <w:t>FR: VD_FINDINFO Arrêt / 2019 / 466 du 8 juillet 2019</w:t>
      </w:r>
    </w:p>
    <w:p>
      <w:r>
        <w:t>IT: VD_FINDINFO Arrêt / 2019 / 466 del 8 luglio 2019</w:t>
      </w:r>
    </w:p>
    <w:p>
      <w:pPr>
        <w:pStyle w:val="Heading2"/>
      </w:pPr>
      <w:r>
        <w:t>Regeste</w:t>
      </w:r>
    </w:p>
    <w:p>
      <w:r>
        <w:t>ALLOCATION POUR IMPOTENT | 17 LPGA, 9 LPGA</w:t>
      </w:r>
    </w:p>
    <w:p>
      <w:pPr>
        <w:pStyle w:val="Heading2"/>
      </w:pPr>
      <w:r>
        <w:t>Erwägungen</w:t>
      </w:r>
    </w:p>
    <w:p>
      <w:r>
        <w:rPr>
          <w:b/>
        </w:rPr>
        <w:t>E. 5</w:t>
      </w:r>
    </w:p>
    <w:p>
      <w:r>
        <w:t>juillet 2018, en raison d'un sepsis d'origine urinaire. Sous la rubrique "discussion", les éléments suivants sont rapportés : "M. est hospitalisé initialement aux soins continus de médecine pour un sepsis d'origine urinaire. En raison d'une hypotension à son arrivée, il bénéficie d'un remplissage iv par du NaCI 0.9% avec une bonne réponse hémodynamique. En parallèle, une antibiothérapie de Ceftriaxone iv est introduite. Compte tenu du risque d'ESBL, une dose unique d'Amikacine 750 mg iv est administrée en ordre unique. En présence d'un faible capital veineux, une voie veineuse centrale jugulaire droite est posée sous contrôle échographique le 27.06.2018. L'uricult montre un E.Coli multisensible. Un relais per os par Ciprofloxacine est débutée le 29.06.2018 avec une évolution initialement favorable. Le 30.06.2018, nous constatons une récidive d'état fébrile avec apparition d'une tuméfaction de la cuisse gauche chez un patient avec escarre ischiatique de stade 4 et signes inflammatoires associés. Le spectre antibiotique est élargi pour du pipéracilline/tazobactam (toujours en cours actuellement) et clindamycine (3j au total, jusqu'au 03.06.2018 y compris). Un nouveau CT thoraco-abdominal le 02.07.2018 révèle une collection à la partie supérieure du pli fessier. Un PET-CT le 03.07.2018 infirme une atteinte du matériel d'ostéosynthèse mais montre une extension de l'abcès musculaire en distalité dans la cuisse gauche. Une ponction de la hanche gauche le 04.07.2018 exclut une arthrite associée. Une prise en charge chirurgical avec drainage et débridement de la collection et de l'escarre est prévue le 05.07.2018. Dans ce contexte, Mr est transféré dans le Service de chirurgie septique le 05.07.2018". - un rapport du 15 novembre 2018 établi par le Service des Urgences du CHUV, à la suite de l'hospitalisation de l'assuré le 14 novembre 2018 en raison d'une infection cutanée persistante au niveau du fessier gauche. Il est fait état de la situation suivante: " Problèmes et attitude (à l'entrée) 1/Récidive d'escarre ischio-fessière gauche chez un patient en chaise roulante dans le cadre d'une spina bifida. Pas des signes locaux en faveur d'une surinfection au niveau de l'escarre. 2/Urines positives chez un patient qui fait des auto-sondages 5x/jour. Pas de plaintes urinaires actuellement. Pas de traitement instauré, mais à recontrôler via la consultation de son MT. (...) Avis chirurgie plastique: RAD avec RDV en chirurgie septique: téléphoner demain au [...] pour voir si possibilité d'avancer le RDV. Pas d'ATB à administrer pour le moment, vu l'absence de signes locaux en faveur d'une surinfection. Eviter de rester assis trop longtemps. Décubitus latéral et/ou dorsal. Pansement local absorbant. AF [A faire]: Pas d'ATB à administrer, selon l'avis de chirurgien plasticien. Pansement absorbant et éviter de rester trop longtemps assis. Favoriser le décubitus latérale/ou dorsal A revoir en consultation de chirurgie septique (RDV prévu le 29.11): Rappeler demain au 42884 pour avancer le RDV A revoir en salle d'urgence di DEG". - un rapport de la Dresse J.________ du 29 novembre 2018, selon laquelle la situation de l'assuré s'est péjorée avec une hospitalisation du 26 juin 2018 au 21 août 2018 en raison d'un sepsis urinaire, puis d'une escarre ischiatique de stade 4 compliquée par un abcès sacré et musculaire de la cuisse gauche avec surinfection cutanée. L'escarre avait été opérée en juillet 2018 mais n'avait jamais complétement guéri. Selon la Dresse J.________, il était indispensable pour la guérison de cette escarre que l'assuré passe le plus d'heures possibles en position couchée, et ceci également pour les repas. Le</w:t>
      </w:r>
    </w:p>
    <w:p>
      <w:r>
        <w:rPr>
          <w:b/>
        </w:rPr>
        <w:t>E. 7</w:t>
      </w:r>
    </w:p>
    <w:p>
      <w:r>
        <w:t>Selon l'art. 88 bis al. 2 RAI, la diminution ou la suppression de la rente, de l'allocation pour impotent ou de la contribution d'assistance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RAI. En l'occurrence, l'OAI a rendu une première décision relative à la révision de l'allocation pour impotent le 19 avril 2018, reconnaissant à l'assuré le droit à une allocation pour impotence de degré moyen dès le 1 er février 2018. Le 2 juillet 2018, l'OAI a reconsidéré cette décision, reconnaissant un droit à une allocation pour impotent de degré moyen à compter du 1 er août 2018. Cette décision, datée du 2 juillet 2018, ne peut néanmoins prendre effet que dès le 1 er septembre 2018, soit le premier jour du deuxième mois suivant sa notification (art. 88 bis al. 2 RAI). Il s'agira par conséquent de modifier la décision entreprise sur ce point.</w:t>
      </w:r>
    </w:p>
    <w:p>
      <w:r>
        <w:rPr>
          <w:b/>
        </w:rPr>
        <w:t>E. 8</w:t>
      </w:r>
    </w:p>
    <w:p>
      <w:r>
        <w:t>Le dossier étant complet, permettant ainsi à la présente autorité de statuer en pleine connaissance de cause, il n'y a pas lieu d'ordonner une instruction complémentaire sous la forme de l'audition du recourant. En effet, une telle mesure d'instruction ne serait pas de nature à modifier les considérations qui précèdent (appréciation anticipée des preuves (ATF 140 I 285 consid. 6.3.1 ; 134 I 140 consid. 5.3 ; 130 II 425 consid. 2.1).</w:t>
      </w:r>
    </w:p>
    <w:p>
      <w:r>
        <w:rPr>
          <w:b/>
        </w:rPr>
        <w:t>E. 9</w:t>
      </w:r>
    </w:p>
    <w:p>
      <w:r>
        <w:t>a) En conclusion, les recours des 25 mai et 13 août 2018 doivent être très partiellement admis, en ce sens que l'allocation pour impotent de degré moyen est octroyée à partir du 1 er septembre 2018. Ils sont rejetés pour le surplus.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L’art. 61 let. g LPGA prévoit que le recourant, qui obtient gain de cause, a droit au remboursement de ses frais et dépens dans la mesure fixée par le tribunal, leur montant devant être déterminé sans égard à la valeur litigieuse, d’après l’importance et la complexité du litige. Selon l’art. 69 al. 1 bis deuxième phrase LAI, le montant des frais est fixé en fonction de la charge liée à la procédure, indépendamment de la valeur litigieuse, et doit se situer entre 200 et 1’000 francs.] En l’espèce, les frais de justice doivent être arrêtés à 400 fr. et être mis par 200 fr. à la charge de l’office intimé et par 200 fr. à la charge du recourant qui n’obtient que partiellement gain de cause. Toutefois, dès lors que le recourant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Par ailleurs, assisté d’un mandataire professionnel, le recourant a droit à des dépens réduits, qu’il convient de fixer à 1’000 fr., débours et TVA compris (art. 61 let. g LPGA, art. 10 et 11 TFJDA [tarif du 28 avril 2015 des frais judiciaires et des dépens en matière administrative ; BLV 173.36.5.1]), et de mettre à la charge de l’intimé. c) Lorsqu’une partie a été mise au bénéfice de l’assistance judiciaire, comme c'est le cas en l'espèce,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Me Damond a produit deux listes des opérations, l’une datée du 22 octobre 2018 relative à la cause AI 167/18 et l’autre datée du 3 avril 2019 relative à la cause du AI 239/18, faisant état respectivement de 6,26 heures et de 7,50 heures consacrées à la défense du recourant, ainsi que 87 fr. 20 de débours. Il convient de retrancher de la liste des opérations du 3 avril 2019 le temps consacré à la rédaction du recours, soit 2,30 heures, dès lors qu’il est quasiment identique à celui du 25 mai 2018. En définitive, l'indemnité d'office de Me Damond s'élève à 2’064 fr. pour ses honoraires (11 heures et 28 minutes x 180), plus 103 fr. 20 pour les débours (5% x 2'064 fr. ; cf. art. 3bis al. 1 RAJ) et 166 fr. 85 d e TVA au taux de 7.7 %, soit une indemnité totale de 2'334 fr. 05. L’indemnité d’office n’étant que partiellement couverte par les dépens, le solde, soit 1'334 fr. 05 fr. (2’334 fr. 05 – 1’000 fr.), sera provisoirement supporté par le canton. Le recourant est toutefois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