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464 vom 22. Mai 2019</w:t>
      </w:r>
    </w:p>
    <w:p>
      <w:r>
        <w:t>VD Tribunal cantonal, 2019-05-22, FR</w:t>
      </w:r>
    </w:p>
    <w:p>
      <w:r>
        <w:rPr>
          <w:b/>
        </w:rPr>
        <w:t xml:space="preserve">Quelle: </w:t>
      </w:r>
      <w:r>
        <w:t>https://mcp.opencaselaw.ch/entscheid/vd_findinfo_Arr_t___2019___464</w:t>
      </w:r>
    </w:p>
    <w:p>
      <w:r>
        <w:t>FR: VD_FINDINFO Arrêt / 2019 / 464 du 22 mai 2019</w:t>
      </w:r>
    </w:p>
    <w:p>
      <w:r>
        <w:t>IT: VD_FINDINFO Arrêt / 2019 / 464 del 22 maggio 2019</w:t>
      </w:r>
    </w:p>
    <w:p>
      <w:pPr>
        <w:pStyle w:val="Heading2"/>
      </w:pPr>
      <w:r>
        <w:t>Regeste</w:t>
      </w:r>
    </w:p>
    <w:p>
      <w:r>
        <w:t>PLACEMENT À DES FINS D'ASSISTANCE | 426 CC</w:t>
      </w:r>
    </w:p>
    <w:p>
      <w:pPr>
        <w:pStyle w:val="Heading2"/>
      </w:pPr>
      <w:r>
        <w:t>Erwägungen</w:t>
      </w:r>
    </w:p>
    <w:p>
      <w:r>
        <w:rPr>
          <w:b/>
        </w:rPr>
        <w:t>E. 1.1</w:t>
      </w:r>
    </w:p>
    <w:p>
      <w:r>
        <w:t>Le recours est dirigé contre une décision de l'autorité de protection de l'adulte mettant fin à l’enquête en placement à des fins d’assistance et en modification de la mesure de curatelle instituée en faveur de J.________ le 29 avril 2013 et ordonnant, pour une durée indéterminée, le placement à des fins d'assistance de la prénommée, en application des art. 426 et 428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notamment ont qualité pour recourir (art. 450 al.</w:t>
      </w:r>
    </w:p>
    <w:p>
      <w:r>
        <w:rPr>
          <w:b/>
        </w:rPr>
        <w:t>E. 1.3</w:t>
      </w:r>
    </w:p>
    <w:p>
      <w:r>
        <w:t>En l’occurrence, interjeté en temps utile par la personne concernée, le recours est recevable. L’autorité de protection a été interpellée conformément à l’art. 450d      al. 1 CC ; elle a renoncé à se déterminer, se référant à sa décision du 28 mars 2019.</w:t>
      </w:r>
    </w:p>
    <w:p>
      <w:r>
        <w:rPr>
          <w:b/>
        </w:rPr>
        <w:t>E. 1.4</w:t>
      </w:r>
    </w:p>
    <w:p>
      <w:r>
        <w:t>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 e al. 4 1 ère phr. CC ; ATF 139 III 257 consid. 4.3). En l’espèce, la justice de paix ainsi que la Chambre des curatelles, toutes deux réunies en collège, ont procédé à l’audition de la recourante. Celle-ci ayant pu s’exprimer devant les deux instances désignées, son droit d’être entendu a été respecté.</w:t>
      </w:r>
    </w:p>
    <w:p>
      <w:r>
        <w:rPr>
          <w:b/>
        </w:rPr>
        <w:t>E. 2</w:t>
      </w:r>
    </w:p>
    <w:p>
      <w:r>
        <w:t>CC). Le recours doit être interjeté par écrit, mais il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ZGB, 6 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Ill 43 et ATF 144 III 349 consid. 4.2). Conformément à l’art. 450d CC, la Chambre des curatelles donne à la justice de paix (art. 4 al. 1 LVPAE) l’occasion de prendre position (al. 1), cette autorité pouvant, au lieu de prendre position, reconsidérer sa décision (al. 2).</w:t>
      </w:r>
    </w:p>
    <w:p>
      <w:r>
        <w:rPr>
          <w:b/>
        </w:rPr>
        <w:t>E. 2.1.1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 3 et 4 ad art. 492 CPC-VD, point de vue qui demeure valable sous l’empire du nouveau droit). Selon les situations, le recours sera par conséquent réformatoire ou cassatoire (Guide pratique COPMA 2017, n. 5.84, p. 182).</w:t>
      </w:r>
    </w:p>
    <w:p>
      <w:r>
        <w:rPr>
          <w:b/>
        </w:rPr>
        <w:t>E. 2.1.2</w:t>
      </w:r>
    </w:p>
    <w:p>
      <w:r>
        <w:t>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 elle doit indiquer sur la base de quels éléments de fait le tribunal a retenu l'existence d'un état de faiblesse ("Schwächezustand") au sens de l'art. 426 al. 1 CC (ATF 140 III 101 consid. 6.2.3). Si cette exigence est émise dans le sous-chapitre II intitulé « Devant l’instance judiciaire de recours », il faut considérer qu’elle ne vaut qu’à l’égard de la première autorité judiciaire compétente, à savoir l’autorité de protection elle-même (JdT 2013 III 38). L’expertise requise sur la base de l’art. 450e al. 3 CC doit contenir en particulier un avis sur l’état de santé de l’intéressé, puis sur les effets que d’éventuels troubles de la santé pourraient avoir sur la mise en danger de soi-même ou de tiers, mais aussi par rapport à un grave état d’abandon et dire s’il en découle un besoin d’agir (ATF 137 III 289 consid. 4.5, JdT 2012 lI 382). Dans cette éventualité, il faut surtout déterminer si le traitement d’une pathologie mentale diagnostiquée est nécessaire, éventuellement la prise en charge de la personne concernée. Dans l’affirmative, il est alors crucial de mesurer le risque concret, pour la santé et la vie de la personne concernée, respectivement, pour les tiers, si l’on négligeait le traitement de la pathologie diagnostiquée par l’expert ou la prise en charge de la personne (sur l’exigence d’un danger concret : TF 5A_312/2007 du 10 juillet 2007 consid. 2.3 ; TF 5A_ 288/2011 du 19 mai 2011 consid. 5.3). Pour le reste, il incombe à l’expert de dire si, en ce qui concerne l’assistance personnelle nécessaire, le traitement ou la prise en charge doit obligatoirement être stationnaire. A ce propos, l’expert doit préciser également si la personne en cause paraît, de manière crédible, avoir conscience de sa maladie et de la nécessité d’un traitement. L’expert doit indiquer s’il existe un établissement approprié et, si c’est le cas, pourquoi l’établissement proposé entre effectivement en ligne de compte (ATF 140 III 105, JdT 2015 II 75 et les références citées). Sous l’empire de l’art. 397e ch. 5 aCC, dans la teneur prévue par le ch. I de la loi fédérale du 6 octobre 1978, en vigueur depuis le 1 er janvier 1981 (RO 1980 p. 31 ; Message du Conseil fédéral du 17 août 1977 à l'appui de la révision du code civil suisse [privation de liberté à des fins d'assistance], FF 1977 III 1), le concours d’un expert était requis pour toute décision de placement, de maintien ou de levée de la mesure quel que soit le stade la procédure (TF 5A_63/2013 du 7 février 2013 consid. 5.1.2 ; Geiser, Basler Kommentar, Zivilgesetzbuch I, Art. 1-456 ZGB, 4 e éd., Bâle 2010, n. 19 ad art. 397e aCC, p. 2000). L’expert devait en outre rendre un rapport actualisé. Du message du Conseil fédéral et des débats parlementaires, on ne peut déduire une interprétation différente de l’art. 450e al. 3 CC actuellement en vigueur (CCUR 22 avril 2016/78 consid. 2.2.2). Les experts doivent disposer des connaissances requises en psychiatrie et psychothérapie, mais il n'est pas nécessaire qu'ils soient médecins spécialistes dans ces disciplines (Droit de la protection de l’adulte, Guide pratique COPMA 2012 [ci-après cité : Guide pratique COPMA 2012], n. 12.21, p. 286 ; Geiser, Basler Kommentar, op. cit., op. cit., n. 18 ad art. 450e CC, p. 2650). L'expert doit être indépendant et ne pas s'être déjà prononcé sur la maladie de l'intéressé dans une même procédure (ATF 137 III 289 consid. 4.4 ; ATF 128 III 12 consid. 4a, JdT 2002 I 474 ; ATF 118 II 249 consid. 2a, JdT 1995 I 51 ; TF 5A_358/2010 du 8 juin 2010), ni être membre de l'instance décisionnelle (Guillod, CommFam, Protection de l’adulte, 2013, n. 16 ad art. 446 CC et les références citées).</w:t>
      </w:r>
    </w:p>
    <w:p>
      <w:r>
        <w:rPr>
          <w:b/>
        </w:rPr>
        <w:t>E. 2.2</w:t>
      </w:r>
    </w:p>
    <w:p>
      <w:r>
        <w:t>En l’espèce, la décision entreprise se fonde essentiellement sur le rapport d’expertise du 14 février 2019 établi par deux médecins de la Fondation de [...]. Il fournit des éléments actuels et pertinents sur l’évolution de la situation de l’intéressée et émane de spécialistes en psychiatrie qui ne s’étaient encore jamais prononcés sur l’état de santé de la personne concernée. Conforme aux exigences de procédures requises et corroboré par les autres avis médicaux déposés au dossier, il permet à la Chambre de céans de se prononcer sur la légitimité du placement ordonné.</w:t>
      </w:r>
    </w:p>
    <w:p>
      <w:r>
        <w:rPr>
          <w:b/>
        </w:rPr>
        <w:t>E. 3.1</w:t>
      </w:r>
    </w:p>
    <w:p>
      <w:r>
        <w:t>La recourante conteste son placement à des fins d’assistance. Elle souhaite quitter l’établissement dans lequel elle réside et vivre dans un appartement, quitte à ce qu’il soit protégé, avec un suivi ambulatoire.</w:t>
      </w:r>
    </w:p>
    <w:p>
      <w:r>
        <w:rPr>
          <w:b/>
        </w:rPr>
        <w:t>E. 3.2.1</w:t>
      </w:r>
    </w:p>
    <w:p>
      <w:r>
        <w:t>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 Droit de la protection de l'adulte, op. cit., n. 1192, p. 577 ; Guide pratique COPMA 2012, n. 10.6, p. 245).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 4.1 et TF 5A_497/2014 du 8 juillet 2014 consid. 4.1 avec la référence au Message du Conseil fédéral du 28 juin 2006 concernant la révision du Code civil suisse [Protection des personnes, droit des personnes et droit de la filiation], FF 2006, p. 6676 ad art. 390 CC). S’agissant des dépendances, le placement ne devra cependant  être envisagé que dans une perspective de soins et de sevrage et non comme une protection contre l’objet de la dépendance à court terme (ATF 134 III 293). En raison des risques immédiats liés à la consommation d’alcool par exemple, des placements prononcés à l’encontre de personnes dépendantes peuvent être confirmés, au motif que toute alcoolisation supplémentaire pourrait être fatale à l’intéressé en raison des atteintes déjà importantes des organes vitaux (CCUR  2 août 2016/165 ; Kühnlein, op. cit., JdT 2017 III 77-78). L'art. 426 CC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2012,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consid. 3). Selon l'art. 29 LVPAE, lorsqu'une cause de placement existe, mais que les soins requis par l'intéressé peuvent encore être pratiqués sous forme ambulatoire, l'autorité de protection peut prescrire un tel traitement ambulatoire et les modalités de contrôle de son suivi (al. 1). La décision désigne le médecin chargé du traitement et fixe le cadre du suivi de la personne concernée (al. 2). Si la personne concernée se soustrait aux contrôles prévus ou compromet de toutes autres façons le traitement ambulatoire, le médecin chargé du traitement avise l'autorité de protection, qui statue le cas échéant sur le placement ou la réintégration (al. 4).</w:t>
      </w:r>
    </w:p>
    <w:p>
      <w:r>
        <w:rPr>
          <w:b/>
        </w:rPr>
        <w:t>E. 3.2.2</w:t>
      </w:r>
    </w:p>
    <w:p>
      <w:r>
        <w:t>La prise en charge de la personne concernée à sa sortie de l’institution est réglée par le droit cantonal (art. 437 al. 1 CC), qui peut prévoir des mesures ambulatoires (art. 437 al. 2 CC). D’un point de vue systématique, le fait que la réserve attributive prenne place dans le chapitre III du Titre onzième du Code civil concernant spécifiquement le placement à des fins d’assistance signifie que les mesures ambulatoires doivent être considérées comme un « sous-placement à des fins d’assistance » et que les règles de procédure de placement à des fins d’assistance s’appliquent mutatis mutandis (JdT 2017 III 75). Le droit cantonal vaudois prévoit que si la personne concernée se soustrait aux contrôles prévus ou compromet de toute autre façon le traitement ambulatoire, le médecin chargé du traitement avise l’autorité de protection, qui statue le cas échéant sur le placement ou la réintégration (art. 29 al. 4 LVPAE). A cet égard, il faut souligner que, même si elles ont été ordonnées à la suite de l’institution, le non-respect des mesures ambulatoires n’engendre pas automatiquement un placement à des fins d’assistance, mais seulement un avis du médecin chargé du traitement à l’autorité de protection (JdT 2017 III 109).</w:t>
      </w:r>
    </w:p>
    <w:p>
      <w:r>
        <w:rPr>
          <w:b/>
        </w:rPr>
        <w:t>E. 3.3</w:t>
      </w:r>
    </w:p>
    <w:p>
      <w:r>
        <w:t>En l'espèce, selon l’expertise du 14 février 2019, la recourante souffre de troubles mentaux et du comportement, liés à l’utilisation de substances psychoactives multiples, de troubles liés à l’utilisation d’autres substances psychoactives, dont l’utilisation est nocive pour la santé, ainsi que d’un syndrome de dépendance, cette problématique évoluant depuis vingt-cinq ans et les actes de la recourante prouvant l’absence de conscience morbide se multipliant. Sur le plan somatique, elle souffre d’une coïnfection aux virus de l’immunodéficience et de l’hépatite virale, qui ont nécessité trois hospitalisations en 2018. Hospitalisée à de nombreuses reprises en milieu psychiatrique, notamment à l’Hôpital de [...], dans le canton de [...], puis à la Clinique de [...], elle fait l’objet d’une hospitalisation sous mesure de placement à des fins d’assistance depuis le 11 août 2018. Aux termes de son signalement du 13 juillet 2018, le Dr T.________ a estimé, avec la curatrice, que sa patiente devait être placée, laquelle présentait une importante difficulté de prise en charge ambulatoire avec mise en danger physique et psychique. Les experts retiennent que l’intéressée n’adhère pas du tout aux projets thérapeutiques mis en place car elle ne prend pas du tout conscience de leur évidente nécessité et qu’il est indispensable que l’expertisée soit placée dans une institution psychiatrique spécialisée dans les dépendances avec surveillance étroite des entrées et sorties. Enfin le réseau de soins ambulatoires de l’intéressée est unanime sur le fait que la situation de J.________ ne peut plus être prise en charge hors institution, l’intéressée ayant même été retrouvée chez elle dans un grave état d’abandon. Ainsi, toutes les tentatives de prise en charge à domicile ayant échoué et les engagements de l’intéressée à suivre une post-cure n’ayant pas été tenus, la prise en charge institutionnelle est indispensable au vu des nombreuses mises en danger, des conditions de vie indignes dans lesquelles la recourante vivait à domicile et de l’absence de conscience morbide. A défaut de mise en place d’une telle mesure de protection, J.________ pourrait se mettre en danger et perdre la vie. La décision attaquée doit en conséquence être confirmée et la recourante placée dans un établissement spécialisé dans les dépendances, avec un encadrement de soins étroits assurant un suivi continu et une surveillance des allers et venues de l’intéressée. L’OCTP sera invité à faire diligence pour obtenir les prestations complémentaires auxquelles la recourante pourrait avoir droit, afin que celle-ci ait davantage d’argent de poche à sa disposition et voie de la sorte son cadre de vie au sein de l’institution amélioré. Il s’agira également de tout mettre en œuvre pour que l’intimée retrouve plus d’autonomie, dès lors que le placement ne peut être envisagé que dans une perspective de soins et de sevrage et non comme une protection de l’objet de la dépendance à court terme (ATF 134 III 293).</w:t>
      </w:r>
    </w:p>
    <w:p>
      <w:r>
        <w:rPr>
          <w:b/>
        </w:rPr>
        <w:t>E. 4.1</w:t>
      </w:r>
    </w:p>
    <w:p>
      <w:r>
        <w:t>En conclusion, le recours doit être rejeté et la décision entreprise confirmée.</w:t>
      </w:r>
    </w:p>
    <w:p>
      <w:r>
        <w:rPr>
          <w:b/>
        </w:rPr>
        <w:t>E. 4.2</w:t>
      </w:r>
    </w:p>
    <w:p>
      <w:r>
        <w:t>Me Franck-Olivier Karlen a été désigné curateur de représentation de J.________ pour la procédure de recours, selon l’art. 450e al. 4 CC et doit être indemnisé à ce titre pour ses opérations, dont il a soumis la liste à la Chambre de céans le 22 mai 2019. Parmi celles-ci, il y a lieu de retenir 60 minutes d’entretien avec sa cliente pour préparer le recours, 30 minutes de préparation à l’audience du 22 mai 2019, frais de vacation en sus, 45 minutes pour sa participation à celle-ci et 60 minutes pour la réception de la décision et examen de celle-ci avec sa cliente. Les autres correspondances indiquées, qui ne figurent pas au dossier et relèvent de pur travail de secrétariat, ne seront pas indemnisées. Il s’ensuit qu’au tarif horaire de 180 fr., l’indemnité de Me Karlen est arrêtée à 585 fr. (3,25 x 180), à quoi s’ajoutent les montants de 120 fr. pour la vacation et 11 fr. 70 d’autres débours, TVA sur le tout par 55 fr. 20 en sus (CCUR 2 novembre 2018/204), pour un total de 771 fr. 90, étant précisé que ce montant ne comprend pas les activités liées à la succession de feu la mère de la recourante ni celles relatives à la curatelle.</w:t>
      </w:r>
    </w:p>
    <w:p>
      <w:r>
        <w:rPr>
          <w:b/>
        </w:rPr>
        <w:t>E. 4.3</w:t>
      </w:r>
    </w:p>
    <w:p>
      <w:r>
        <w:t>Le présent arrêt peut être rendu sans frais judiciaires (art. 74a al. 4 TFJC [tarif du 28 septembre 2010 des frais judiciaires civils ; BLV 270.11.5]). L’indemnité du curateur sera laissée à la charge de l’Etat. Par ces motifs, la Chambre des curatelles du Tribunal cantonal, statuant à huis clos, prononce : I. Le recours est rejeté. II. La décision est confirmée. III. L’indemnité de Me Franck-Olivier Karlen, curateur de représentation de la recourante J.________, est arrêtée à 771 fr. 90 (sept cent septante et un franc et nonante centimes) et laissée à la charge de l’Etat. IV. L'arrêt est rendu sans frais judiciaires. V. L’arrêt est exécutoire. Le président :              Le greffier : Du L'arrêt qui précède, dont la rédaction a été approuvée à huis clos, est notifié à : ‑ Me Franck-Olivier Karlen (pour J.________), - Office des curatelles et tutelles professionnelles, à l’att. d’E.________, - Le [...], Direction médicale, chemin du [...], 1005 Lausanne,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