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389 vom 14. Mai 2019</w:t>
      </w:r>
    </w:p>
    <w:p>
      <w:r>
        <w:t>VD Tribunal cantonal, 2019-05-14, FR</w:t>
      </w:r>
    </w:p>
    <w:p>
      <w:r>
        <w:rPr>
          <w:b/>
        </w:rPr>
        <w:t xml:space="preserve">Quelle: </w:t>
      </w:r>
      <w:r>
        <w:t>https://mcp.opencaselaw.ch/entscheid/vd_findinfo_Arr_t___2019___389</w:t>
      </w:r>
    </w:p>
    <w:p>
      <w:r>
        <w:t>FR: VD_FINDINFO Arrêt / 2019 / 389 du 14 mai 2019</w:t>
      </w:r>
    </w:p>
    <w:p>
      <w:r>
        <w:t>IT: VD_FINDINFO Arrêt / 2019 / 389 del 14 maggio 2019</w:t>
      </w:r>
    </w:p>
    <w:p>
      <w:pPr>
        <w:pStyle w:val="Heading2"/>
      </w:pPr>
      <w:r>
        <w:t>Regeste</w:t>
      </w:r>
    </w:p>
    <w:p>
      <w:r>
        <w:t>RESTITUTION{EN GÉNÉRAL}, RENTE D'ORPHELIN | 25 LPGA</w:t>
      </w:r>
    </w:p>
    <w:p>
      <w:pPr>
        <w:pStyle w:val="Heading2"/>
      </w:pPr>
      <w:r>
        <w:t>Erwägungen</w:t>
      </w:r>
    </w:p>
    <w:p>
      <w:r>
        <w:rPr>
          <w:b/>
        </w:rPr>
        <w:t>E. 8</w:t>
      </w:r>
    </w:p>
    <w:p>
      <w:r>
        <w:t>a) Au vu de ce qui précède, le recours doit être partiellement admis et la décision annulée, la cause étant renvoyée à l’intimée pour complément d’instruction au sens des considérants et nouvelle décision. b) Il n’y a pas lieu de percevoir de frais judiciaires, la procédure étant gratuite (art. 61 let. a LPGA), ni d’allouer de dépens, la recourante ayant agi sans le concours d’un mandataire (art. 61 let. g LPGA ; ATF 127 V 205 consid. 4b). Par ces motifs, la juge unique prononce : I. Le recours déposé le 14 novembre 2018 par Z.F.________ est partiellement admis. II. La décision sur opposition rendue le 15 octobre 2018 par la Caisse fédérale de compensation est annulée, la cause lui étant renvoyée pour complément d’instruction au sens des considérants et nouvelle décision. III. Il n’est pas perçu de frais judiciaires, ni alloué de dépens. La juge unique :               La greffière : Du L'arrêt qui précède est notifié à : ‑ Z.F.________, ‑ Caisse fédérale de compensation,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