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350 vom 26. April 2019</w:t>
      </w:r>
    </w:p>
    <w:p>
      <w:r>
        <w:t>VD Tribunal cantonal, 2019-04-26, FR</w:t>
      </w:r>
    </w:p>
    <w:p>
      <w:r>
        <w:rPr>
          <w:b/>
        </w:rPr>
        <w:t xml:space="preserve">Quelle: </w:t>
      </w:r>
      <w:r>
        <w:t>https://mcp.opencaselaw.ch/entscheid/vd_findinfo_Arr_t___2019___350</w:t>
      </w:r>
    </w:p>
    <w:p>
      <w:r>
        <w:t>FR: VD_FINDINFO Arrêt / 2019 / 350 du 26 avril 2019</w:t>
      </w:r>
    </w:p>
    <w:p>
      <w:r>
        <w:t>IT: VD_FINDINFO Arrêt / 2019 / 350 del 26 aprile 2019</w:t>
      </w:r>
    </w:p>
    <w:p>
      <w:pPr>
        <w:pStyle w:val="Heading2"/>
      </w:pPr>
      <w:r>
        <w:t>Regeste</w:t>
      </w:r>
    </w:p>
    <w:p>
      <w:r>
        <w:t>DÉCOMPTE FINAL, CURATEUR, INDEMNITÉ{EN GÉNÉRAL}, PERSONNE PROCHE | 404 CC, 450 CC, 3 RCur</w:t>
      </w:r>
    </w:p>
    <w:p>
      <w:pPr>
        <w:pStyle w:val="Heading2"/>
      </w:pPr>
      <w:r>
        <w:t>Erwägungen</w:t>
      </w:r>
    </w:p>
    <w:p>
      <w:r>
        <w:rPr>
          <w:b/>
        </w:rPr>
        <w:t>E. 1.1</w:t>
      </w:r>
    </w:p>
    <w:p>
      <w:r>
        <w:t>Le recours est dirigé contre une décision du juge de paix approuvant le compte final de curatelle.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 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En outre, la Chambre des curatelles n’est pas liée par les conclusions des parties (Meier, Droit de la protection de l’adulte, 2016, n. 216, p. 108 et n. 245, p. 125). Conformément à l’art. 450d CC, la Chambre des curatelles donne à la justice de paix l’occasion de prendre position (al. 1), cette autorité pouvant, au lieu de prendre position, reconsidérer sa décision (al. 2). En l’espèce, l’autorité de protection, a renoncé à reconsidérer sa décision, précisant que la rémunération querellée avait été fixée pro rata temporis sur la base du forfait prévu par le règlement sur la rémunération des curateurs, respectivement sur la liste des opérations produites par Me [...].</w:t>
      </w:r>
    </w:p>
    <w:p>
      <w:r>
        <w:rPr>
          <w:b/>
        </w:rPr>
        <w:t>E. 1.3</w:t>
      </w:r>
    </w:p>
    <w:p>
      <w:r>
        <w:t>Les personnes parties à la procédure, les proches de la personne concernée et les personnes qui ont un intérêt juridique à l'annulation ou à la modification de la décision attaquée ont qualité pour recourir (art. 450 al. 2 CC). La qualité pour recourir du proche présuppose que celui-ci fasse valoir l’intérêt (de fait ou de droit) de la personne protégée et non son intérêt (par exemple patrimonial ou successoral) propre ou l’intérêt de tiers (Meier, op. cit., n. 257, p. 132). Dans le cas d’une succession, le recours doit être interjeté conjointement par tous les héritiers car il y a une communauté de droit de l’objet litigieux tant que la succession est indivise ; les consorts doivent procéder en commun (art. 70 al. 1 CPC), sous peine d’irrecevabilité (Bohnet, CPC annoté, 2016, n. 3 ad art. 70 CPC, p. 169). Ainsi toute remise en cause d’une décision finale ne peut être valablement opérée si les consorts n’agissent pas (séparément ou non) tous en temps utile (Jeandin, Commentaire romand, Code de procédure civile, Bâle 2019, 2 e éd., 2019, cité : CR CPC, n. 12 ad art. 270 CPC, p. 266). Cette exigence d’unanimité est édulcorée en ce sens qu’un consort nécessaire peut agir seul afin de remettre en cause une décision de première instance, pour autant que la désignation des parties intimées englobe non seulement les parties adverses en première instance mais aussi les consorts nécessaires n’agissant pas autour du recourant ; ainsi, toutes les parties se retrouvent devant la seconde instance dont l’arrêt déploiera autorité de chose jugée matérielle à l’encontre de chacun des plaideurs concernés, le même principe valant dans le cadre d’un recours en matière civile auprès du Tribunal fédéral. Avant l’entrée en vigueur du CPC, la jurisprudence avait déjà posé le principe selon lequel tout héritier pouvait agir seul pour remettre en cause un jugement de partage successoral indépendamment de ses cohéritiers, à la condition toutefois de tous les attraire devant la juridiction supérieure, sous peine de rejet (Jeandin, CR CPC, op. cit., n. 14a ad art. 70 CPC, p. 266 et les réf. citées ; TF 5A_668/2018 du 24 août 2018, in Revue de la protection des mineurs et des adultes [RMA] 1/2019, p. 30). A teneur de l’art. 70 al.</w:t>
      </w:r>
    </w:p>
    <w:p>
      <w:r>
        <w:rPr>
          <w:b/>
        </w:rPr>
        <w:t>E. 1.4</w:t>
      </w:r>
    </w:p>
    <w:p>
      <w:r>
        <w:t>En l’espèce, le recours de V.________ est irrecevable. En effet, en vertu des principes exposés ci-dessus, il n’a pas la qualité de proche dès lors que F.________ est décédée. En sa qualité d’héritier, pour faire valoir son intérêt propre, il aurait fallu qu’il procède en commun avec sa sœur, autre héritière de la succession. Au surplus, à supposer recevable, le recours aurait été de toute façon rejeté pour les motifs développés ci-après.</w:t>
      </w:r>
    </w:p>
    <w:p>
      <w:r>
        <w:rPr>
          <w:b/>
        </w:rPr>
        <w:t>E. 2</w:t>
      </w:r>
    </w:p>
    <w:p>
      <w:r>
        <w:t>in fine CPC, le principe de consorité devrait aussi s’appliquer lorsque la décision querellée ne porte pas sur un point de droit matériel, par exemple une décision sur les frais, ce qui est critiqué en doctrine puisque ces décisions peuvent ne concerner qu’un seul parmi les consorts (Jeandin, ibid., n. 15 ad art. 70 CPC, p. 267). Dès lors que par proche, l'on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et que l’existence d’un rapport juridique entre les deux personnes n’est pas requise, le lien de fait étant déterminant (Meier, op. cit., n. 255, p. 131),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25 octobre 2016/232 consid. 2.1).</w:t>
      </w:r>
    </w:p>
    <w:p>
      <w:r>
        <w:rPr>
          <w:b/>
        </w:rPr>
        <w:t>E. 2.1</w:t>
      </w:r>
    </w:p>
    <w:p>
      <w:r>
        <w:t>Le recourant conteste l’approbation du compte final par le premier juge, lui reprochant de ne pas pouvoir vérifier si le curateur n’aurait pas détourné des fonds et relevant que les comptes de la curatelle n’ont jamais été approuvés par la défunte. Il souligne également que sa propre créance en entretien de sa mère aurait dû être inscrite au passif des comptes de la curatelle.</w:t>
      </w:r>
    </w:p>
    <w:p>
      <w:r>
        <w:rPr>
          <w:b/>
        </w:rPr>
        <w:t>E. 2.2</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L’art. 425 CC, dont le contenu correspond pour l’essentiel aux art. 451 à 453 aCC, prévoit notamment qu’aux termes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Une fois les comptes produits, leur examen se fait par un ou deux membre (s) de l’autorité de protection. Les intéressés vérifient l’exactitude, la légalité et l’opportunité des opérations auxquelles le curateur a procédé (art. 11 al. 1 RAM ;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CommFamm,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 ; art. 11 al. 2 RAM). Sous l’ancien droit, la décision d’approbation des comptes n’avait aucun effet immédiat de droit matériel. Elle n’avait pas pour conséquence la décharge définitive du tuteur ou du curateur, dont la responsabilité selon les art. 425 et 451 aCC n’était pas touchée par l’approbation des comptes (Affolter, Basler Kommentar, Zivilgesetzbuch I,</w:t>
      </w:r>
    </w:p>
    <w:p>
      <w:r>
        <w:rPr>
          <w:b/>
        </w:rPr>
        <w:t>E. 2.3</w:t>
      </w:r>
    </w:p>
    <w:p>
      <w:r>
        <w:t>Les allégations du recourant relatives à un éventuel détournement des fonds par le curateur relèvent d’une éventuelle action en responsabilité et ne sauraient justifier un refus d’approbation du compte final. Le fait que le curateur n’ait pas indiqué, au passif des comptes de la défunte, les créances en entretien de son fils est sans conséquence, l’approbation des comptes étant dénuée d’effet matériel sur les éventuelles prétentions de l’intéressé. Partant, les critiques doivent être rejetées. 3. 3.1 Le recourant demande à vérifier pourquoi la rémunération du curateur est si élevée, alors que ce dernier a « cherché intentionnellement à tuer sa mère en la privant d’argent ». 3.2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(art. 3 al. 3 RCur [règlement du 18 décembre 2012 sur la rémunération des curateurs ; BLV 211.255.2]). Selon l’art. 3 al. 4 RCur, le curateur appelé à fournir des services propres à son activité professionnelle a droit, en principe, à une rémunération fixée sur la base du tarif en usage dans sa profession ; lorsque le curateur effectue également des opérations sans lien avec son activité professionnelle, celles-ci justifient une indemnité distincte fixée par application analogique de l’art. 3 al. 3 RCur. S’agissant des débours, ils font l’objet d’une liste de frais détaillés que le curateur présente à l’autorité compétente en même temps que son rapport annuel ; une justification sommaire suffit lorsqu’ils ne dépassent pas 200 fr. par an (art. 2 al. 3 RCur). 3.3 En l’espèce, le 3 décembre 2018, le curateur a produit une liste d’opérations pour le travail effectué pour l’année 2018, mentionnant une durée totale de 11 h. 10 au tarif horaire de l’avocat de 400 francs. Le total des opérations facturées ne porte aucunement le flanc à la critique. En revanche, le tarif horaire est excessif et il convient de le réduire à 250 fr. de l’heure. Ainsi, le curateur aurait eu droit à un montant total de 2'765 fr., indemnité soumise à la TVA (CCUR 2 novembre 2018/204). On constate par conséquent que le montant octroyé, de 2'758 fr., n’est nullement excessif, celui-ci ne comptabilisant d’ailleurs pas la TVA.</w:t>
      </w:r>
    </w:p>
    <w:p>
      <w:r>
        <w:rPr>
          <w:b/>
        </w:rPr>
        <w:t>E. 4</w:t>
      </w:r>
    </w:p>
    <w:p>
      <w:r>
        <w:t>e éd., 2010, n. 60 ad art. 451-453 aCC, p. 2261). En d’autres termes, l’action en responsabilité n’était pas tenue en échec par l’approbation des comptes (Deschenaux/Steinauer, Personnes physiques et tutelle, 4 e éd., Berne 2001, n. 1078, p. 406 ; Geiser, Basler Kommentar, op. cit., n. 6 ad art. 423a CC, p. 2172). Ce principe continue à prévaloir sous l’empire du nouveau droit de la protection de l’adulte (cf. art. 415 et 454 CC ; CCUR 10 juillet 2013/186 ; Vogel, Basler Kommentar, Zivilgesetzbuch I, 6 e éd., 2018, n. 11 ad art. 415 CC, p. 2527 ; Biderbost, op. cit., n. 9 ad art. 415 CC, p. 477). L’approbation des rapports et comptes finaux et la libération du curateur n’ont pas de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intervient au moment de la décision, que celle-ci approuve ou non les comptes finaux (sous réserve d’obligations spécifiques qui lui seraient imposées par cette décision, par exemple la remise de certains biens) (Meier, op. cit., n. 1168, p. 565).</w:t>
      </w:r>
    </w:p>
    <w:p>
      <w:r>
        <w:rPr>
          <w:b/>
        </w:rPr>
        <w:t>E. 4.1</w:t>
      </w:r>
    </w:p>
    <w:p>
      <w:r>
        <w:t>En conclusion, le recours est irrecevable.</w:t>
      </w:r>
    </w:p>
    <w:p>
      <w:r>
        <w:rPr>
          <w:b/>
        </w:rPr>
        <w:t>E. 4.2</w:t>
      </w:r>
    </w:p>
    <w:p>
      <w:r>
        <w:t>Vu l’issue du recours, les frais judiciaires de deuxième instance, arrêtés à 300 fr. (art. 74a al. 1 TFJC [tarif du 28 septembre 2010 des frais judiciaires civils ; RSV 270.11.5]), sont mis à la charge du recourant. Par ces motifs, la Chambre des curatelles du Tribunal cantonal, statuant à huis clos, prononce : I. Le recours est irrecevable. II. Les frais judiciaires de deuxième instance, arrêtés à 300 fr. (trois cents francs), sont mis à la charge de V.________. III. L'arrêt est exécutoire. Le président :              Le greffier : Du L'arrêt qui précède, dont la rédaction a été approuvée à huis clos, est notifié à : ‑ M. V.________, ‑ Me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