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329 vom 11. Dezember 2018</w:t>
      </w:r>
    </w:p>
    <w:p>
      <w:r>
        <w:t>VD Tribunal cantonal, 2018-12-11, FR</w:t>
      </w:r>
    </w:p>
    <w:p>
      <w:r>
        <w:rPr>
          <w:b/>
        </w:rPr>
        <w:t xml:space="preserve">Quelle: </w:t>
      </w:r>
      <w:r>
        <w:t>https://mcp.opencaselaw.ch/entscheid/vd_findinfo_Arr_t___2019___329</w:t>
      </w:r>
    </w:p>
    <w:p>
      <w:r>
        <w:t>FR: VD_FINDINFO Arrêt / 2019 / 329 du 11 décembre 2018</w:t>
      </w:r>
    </w:p>
    <w:p>
      <w:r>
        <w:t>IT: VD_FINDINFO Arrêt / 2019 / 329 del 11 dicembre 2018</w:t>
      </w:r>
    </w:p>
    <w:p>
      <w:pPr>
        <w:pStyle w:val="Heading2"/>
      </w:pPr>
      <w:r>
        <w:t>Regeste</w:t>
      </w:r>
    </w:p>
    <w:p>
      <w:r>
        <w:t>CURATEUR, QUALITÉ POUR RECOURIR, EXPERTISE PSYCHIATRIQUE | 400 al. 1 CC, 450 al. 2 CC, 450e al. 3 CC</w:t>
      </w:r>
    </w:p>
    <w:p>
      <w:pPr>
        <w:pStyle w:val="Heading2"/>
      </w:pPr>
      <w:r>
        <w:t>Erwägungen</w:t>
      </w:r>
    </w:p>
    <w:p>
      <w:r>
        <w:rPr>
          <w:b/>
        </w:rPr>
        <w:t>E. 1.1</w:t>
      </w:r>
    </w:p>
    <w:p>
      <w:r>
        <w:t>Le recours est dirigé contre une décision de la juge de paix confirmant la curatelle de portée générale instituée en faveur de la personne concernée, maintenant le curateur qui avait été nommé provisoirement et prenant acte que l’enquête en placement à des fins d’assistance ouverte en faveur de la personne concernée était devenue sans objet.</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la curatelle de portée générale (art. 450b al. 1 CC) et dans les dix jours en ce qui concerne le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 7 décembre 2015 consid. 2.5.1.2 et 2.5.2.2 ; Steck, Commentaire du droit de la famille [CommFam], Protection de l’adulte, Berne 2013, n. 24 ad art. 450 CC). Les tiers qui ne sont pas des proches n’ont de qualité pour recourir que s’ils peuvent invoquer un intérêt juridique protégé, et ce pour autant que cet intérêt soit en lien direct avec la mesure, respectivement qu’il doive être protégé grâce à la mesure et que l’autorité aurait dû en tenir compte (Meier/Stettler, Droit de la filiation, 6 e éd., Genève/Zurich/Bâle 2019, n. 1808, p. 1183 ; cf. TF 5A_746/2016 du 5 avril 2017, consid. 2.3.2, résumé in RMA 2017, p. 223),</w:t>
      </w:r>
    </w:p>
    <w:p>
      <w:r>
        <w:rPr>
          <w:b/>
        </w:rPr>
        <w:t>E. 1.3</w:t>
      </w:r>
    </w:p>
    <w:p>
      <w:r>
        <w:t>Conformément à l’art. 450d CC, la Chambre des curatelles donne à la justice de paix l’occasion de prendre position (al. 1), cette autorité pouvant, au lieu de prendre position, reconsidérer sa décision (al. 2).</w:t>
      </w:r>
    </w:p>
    <w:p>
      <w:r>
        <w:rPr>
          <w:b/>
        </w:rPr>
        <w:t>E. 1.4.1</w:t>
      </w:r>
    </w:p>
    <w:p>
      <w:r>
        <w:t>Comme précédemment retenu par la Chambre des curatelles dans l’arrêt du 22 août 2018 concernant Z.________, la qualité de proche ne peut pas être accordée à O.________ au vu du conflit d’intérêts manifeste qui les oppose. Il n’est pas nécessaire de revenir sur les motifs.</w:t>
      </w:r>
    </w:p>
    <w:p>
      <w:r>
        <w:rPr>
          <w:b/>
        </w:rPr>
        <w:t>E. 1.4.2</w:t>
      </w:r>
    </w:p>
    <w:p>
      <w:r>
        <w:t>Il y a en revanche lieu de déterminer si cette dernière peut recourir en sa qualité de tiers au sens de l’art. 450 al. 2 ch. 3 CC. O.________ fait valoir des manquements du curateur de la personne concernée et estime qu’elle serait mieux à même d’exercer le mandat de curatelle. La question de savoir si elle agit par intérêt propre ou si elle souhaite sauvegarder les intérêts de sa mère est précisément la question litigieuse du présent recours. S’agissant d’un fait de double pertinence, il y a lieu d’admettre, à ce stade, que la recourante dispose de la qualité pour recourir. Partant, suffisamment motivé et interjeté en temps utile par O.________, le recours est recevable. Le recours étant manifestement mal fondé au vu des considérations qui seront développées ci-après, il a été renoncé à consulter l'autorité de protection et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[Code de procédure civile vaudois du 14 décembre 1966, aujourd'hui abrogé], p. 763, point de vue qui demeure valable sous l’empire du nouveau droit).</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La personne concernée doit être entendue personnellement, à moins que l’audition personnelle ne paraisse disproportionnée (art. 447 al. 1 CC).</w:t>
      </w:r>
    </w:p>
    <w:p>
      <w:r>
        <w:rPr>
          <w:b/>
        </w:rPr>
        <w:t>E. 2.2.2</w:t>
      </w:r>
    </w:p>
    <w:p>
      <w:r>
        <w:t>En l’espèce, Z.________ s’est présentée à l’audience de la juge de paix du 18 avril 2018, mais a quitté la salle après quelques minutes indiquant « avoir peur ». Dans le rapport d’expertise psychiatrique du 2 septembre 2018, les expertes ont retenu une contre-indication médicale à entendre la personne concernée au motif qu’une audition pouvait induire chez l’intéressée une exacerbation de ses angoisses en raison de ses troubles cognitifs. Il apparaît ainsi que l’état de la personne concernée ne permet pas de procéder à son audition sans qu’il puisse être retenu une violation de son droit d’être entendue.</w:t>
      </w:r>
    </w:p>
    <w:p>
      <w:r>
        <w:rPr>
          <w:b/>
        </w:rPr>
        <w:t>E. 2.3.1</w:t>
      </w:r>
    </w:p>
    <w:p>
      <w:r>
        <w:t>La recourante fait valoir que le rapport d’expertise psychiatrique comporte des erreurs à savoir l’âge de la personne concernée et le nombre de visites qu’elle a reçues de sa fille et son beau-fils ; elle requiert ainsi l’invalidation de l’expertise psychiatrique.</w:t>
      </w:r>
    </w:p>
    <w:p>
      <w:r>
        <w:rPr>
          <w:b/>
        </w:rPr>
        <w:t>E. 2.3.2</w:t>
      </w:r>
    </w:p>
    <w:p>
      <w:r>
        <w:t>Une curatelle de portée générale (art. 398 CC) instituée en raison d'un trouble psychique ou d'une déficience mentale doit reposer sur un rapport d'expertise, à moins que l'un des membres de l'autorité de protection de l'adulte ne dispose de connaissances nécessaires (ATF 140 III 97 consid. 4). Cela se justifie notamment en raison de la limitation à l'exercice des droits civils (TF 5A_617/2014 du 1 er décembre 2014 consid. 4.3 et réf. citées).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 citées). Par ailleurs, l'expert doit être indépendant et ne pas s'être déjà prononcé sur la maladie de l'intéressé dans une même procédure (ATF 137 III 289 consid. 4.4 ; ATF 128 III 12 consid. 4a, JdT 2002 I 474 ; ATF 118 II 249 consid. 2a, JdT 1995 I 51 ; TF 5A_358/2010 du 8 juin 2010).</w:t>
      </w:r>
    </w:p>
    <w:p>
      <w:r>
        <w:rPr>
          <w:b/>
        </w:rPr>
        <w:t>E. 2.3.3</w:t>
      </w:r>
    </w:p>
    <w:p>
      <w:r>
        <w:t>En l’espèce, le rapport d’expertise psychiatrique du 2 septembre 2018 répond pleinement aux conditions posées par la jurisprudence ci-dessus mentionnée et ne saurait être invalidé pour quelques erreurs de plumes qui n’ont aucune conséquence sur le diagnostic posé. De fait, c’est à juste titre que les premiers juges se sont basés sur ce rapport pour prononcer la curatelle de portée générale en faveur de la personne concernée. Partant, le grief de la recourante doit être rejeté.</w:t>
      </w:r>
    </w:p>
    <w:p>
      <w:r>
        <w:rPr>
          <w:b/>
        </w:rPr>
        <w:t>E. 2.4</w:t>
      </w:r>
    </w:p>
    <w:p>
      <w:r>
        <w:t>La recourante reproche également aux premiers juges, de manière très confuse, une violation « des règles juridiques usuelles appliquées » en ce qui concerne la manière dont l’enquête aurait été diligentée et de ne pas avoir bénéficié d’une « assistance juridique » durant la procédure. En l’espèce, la recourante ne développe pas quelles règles de procédure auraient été violées, ni les éventuelles conséquences de leur violation. Partant, ce grief doit être déclaré irrecevable faute de motivation (art. 450 al.</w:t>
      </w:r>
    </w:p>
    <w:p>
      <w:r>
        <w:rPr>
          <w:b/>
        </w:rPr>
        <w:t>E. 2.5.1</w:t>
      </w:r>
    </w:p>
    <w:p>
      <w:r>
        <w:t>La recourante expose que la présence de la Juge assesseure, [...] à l’audience du 11 décembre 2018 « aurait pu justifier la récusation de la Cour in corpore (sic)» en raison de « sa fonction au [...] de responsable des placements en ems et de lien avec le [...] (sic) ».</w:t>
      </w:r>
    </w:p>
    <w:p>
      <w:r>
        <w:rPr>
          <w:b/>
        </w:rPr>
        <w:t>E. 2.5.2</w:t>
      </w:r>
    </w:p>
    <w:p>
      <w:r>
        <w:t>Dans le canton de Vaud, la Cour administrative du Tribunal cantonal est compétente pour statuer sur les demandes de récusation visant l'ensemble d'une autorité judiciaire de première instance ou la majorité de ses membres (art. 8a al. 3 CDPJ [Code de droit privé judiciaire vaudois du 12 janvier 2010 ; BLV 211.02] et 6 al. 1 let. a ROTC [règlement organique du Tribunal cantonal du 13 novembre 2007 ; BLV 173.31.1]). Lorsque la demande de récusation vise un magistrat professionnel ou un vice-président, trois autres magistrats du même office judiciaire statuent sur ladite demande (art. 8a al. 1 CDPJ).</w:t>
      </w:r>
    </w:p>
    <w:p>
      <w:r>
        <w:rPr>
          <w:b/>
        </w:rPr>
        <w:t>E. 2.5.3</w:t>
      </w:r>
    </w:p>
    <w:p>
      <w:r>
        <w:t>A supposer qu’il faille considérer la remarque de la recourante comme une demande de récusation de la Justice de paix de la Broye-Vully in corpore ou de celle de la Juge assesseure, celle-ci doit être déclarée irrecevable dans la mesure où la Chambre des curatelles n’est pas compétente en la matière. Au demeurant, une telle requête paraît quoi qu’il en soit tardive, puisque que la recourante semble soutenir qu’elle connaissait le motif de récusation depuis le 11 décembre 2018 (art. 49 al. 1 CPC).</w:t>
      </w:r>
    </w:p>
    <w:p>
      <w:r>
        <w:rPr>
          <w:b/>
        </w:rPr>
        <w:t>E. 2.6</w:t>
      </w:r>
    </w:p>
    <w:p>
      <w:r>
        <w:t>Il résulte de ce qui précède que la décision a été rendue conformément aux règles de procédure applicables et que la cause peut être examinée sur le fond.</w:t>
      </w:r>
    </w:p>
    <w:p>
      <w:r>
        <w:rPr>
          <w:b/>
        </w:rPr>
        <w:t>E. 3</w:t>
      </w:r>
    </w:p>
    <w:p>
      <w:r>
        <w:t>CC).</w:t>
      </w:r>
    </w:p>
    <w:p>
      <w:r>
        <w:rPr>
          <w:b/>
        </w:rPr>
        <w:t>E. 3.1</w:t>
      </w:r>
    </w:p>
    <w:p>
      <w:r>
        <w:t>La recourante requiert sa nomination en qualité de curatrice de sa mère en lieu et place d’Y.________. Elle fait valoir qu’elle est mieux à même de fonctionner en cette qualité puisqu’elle s’occupe de Z.________ depuis 2009, qu’elle a toutes les compétences requises, qu’elle est fiable et qu’elle sait maîtriser un budget. Elle fait également valoir que le curateur actuel aurait fait preuve d’une mauvaise gestion budgétaire et ne montrerait aucun intérêt dans la sauvegarde des intérêts de la personne concernée.</w:t>
      </w:r>
    </w:p>
    <w:p>
      <w:r>
        <w:rPr>
          <w:b/>
        </w:rPr>
        <w:t>E. 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que la condition posée par l’art. 400 al. 1 CC est réalisée, devoir qui incombe aussi à l’autorité de recours (TF 5A_706/2017 du 12 février 2018 consid. 6.2 ; TF 5A_904/2014 du 17 mars 2015 consid. 2.1 et réf. citées). Bien que le nouveau droit de protection de l'adulte ne prévoit plus un droit de préférence des proches d'être désignés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(Droit de la protection de l’adulte, Guide pratique COPMA, Zurich/St-Gall 2012, ci-après : Guide pratique COPMA 2012, n. 6.21, p. 186). L’autorité de protection de l’adulte doit veiller à ce qu’il n’y ait pas de conflit d’intérêts entre la personne à protéger et celle qui est pressentie comme curatrice (Häfeli, CommFam, op. cit.,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Genève/Zurich/Bâle 2016, n. 964, pp. 463 et 464). Il y a conflit d'intérêts entre le curateur et la personne concernée lorsque ceux-ci ne sont plus parallèles et qu'il existe un risque abstrait que le représentant légal fasse passer ses intérêts avant ceux de la personne sous curatelle (Meier, op. cit., n. 976, p. 468 et réf. citées ; De Luze et crts, Droit de la famille, Lausanne 2013, nn. 1.2 à 1.4 ad art. 403 CC, p. 688 et réf.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 ; Meier/Stettler, op. cit., n. 1227, p. 808).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 CTUT 26 janvier 2012/29).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 Guide pratique COPMA 2012, n. 6.24, p. 187 ; sur le tout : CCUR 11 avril 2018/70). Ainsi, un conflit potentiel d’intérêts entre le curateur, même proche, et la personne concernée suffit à justifier le maintien d’un curateur externe (CCUR 15 juin 2017/114).</w:t>
      </w:r>
    </w:p>
    <w:p>
      <w:r>
        <w:rPr>
          <w:b/>
        </w:rPr>
        <w:t>E. 3.3</w:t>
      </w:r>
    </w:p>
    <w:p>
      <w:r>
        <w:t>En l’espèce, Z.________ est âgée de bientôt nonante-quatre ans et souffre d’une démence mixte neurodégénérative et vasculaire, d’une quasi cécité prédominante à l’œil gauche, et d’une incontinence urinaire et fécale, de sorte qu’elle est dépendante pour toutes les activités quotidiennes et nécessite un accompagnement permanent. L’expertise psychiatrique réalisée à son endroit a mis en évidence qu’elle n’avait plus sa capacité de discernement, qu’elle n’était plus en mesure de gérer ses affaires administratives et financières, et qu’il était à craindre qu’elle puisse être abusée par des tiers. En outre, la situation financière de Z.________ est plus que précaire. Malgré ses revenus et ses faibles dépenses, ses comptes sont vides, et les factures de sa pension ne peuvent être acquittées en totalité. Les circonstances qui ont conduit à la donation de la maison familiale à sa fille sont floues et des retraits suspects ont été effectués sur son compte. A cet égard, la recourante a déclaré qu’elle avait mis en commun ses ressources avec celles de sa mère lorsqu’elle logeait chez elle et a peu ou prou admis que les revenus de la personne concernée devaient servir à subvenir financièrement aux besoins de ses filles. Une enquête pénale a  été ouverte à son endroit, notamment pour abus de confiance. Il en résulte que les conditions ayant provoqué la précarité de la personne concernée restent en l’état incertaines et les déclarations de la recourante à ce propos ne manquent pas d’interpeller. Dans ces circonstances, il est fort à craindre – comme l’avait retenu la Chambre des curatelles dans son précédent arrêt –  que la recourante fasse passer ses intérêts propres en priorité et ne soit pas à même de sauvegarder les intérêts de sa mère. Le conflit d’intérêts entre O.________ et Z.________ étant manifeste, c’est à juste titre que les premiers juges ont nommé un curateur externe, les accusations portées par la recourante à son encontre n’étant au demeurant pas démontrées.</w:t>
      </w:r>
    </w:p>
    <w:p>
      <w:r>
        <w:rPr>
          <w:b/>
        </w:rPr>
        <w:t>E. 4</w:t>
      </w:r>
    </w:p>
    <w:p>
      <w:r>
        <w:t>La recourante se plaint également de propos qui auraient été tenus par les médecins en charge du placement à des fins d’assistance médical ordonné à l’endroit de sa mère. Ce placement ne faisant pas l’objet de la décision en cause, il n’y a pas lieu d’entrer en matière.</w:t>
      </w:r>
    </w:p>
    <w:p>
      <w:r>
        <w:rPr>
          <w:b/>
        </w:rPr>
        <w:t>E. 5</w:t>
      </w:r>
    </w:p>
    <w:p>
      <w:r>
        <w:t>En conclusion, le recours doit être rejeté dans la mesure où il est recevable et la décision attaquée confirmée. Les frais judiciaires de deuxième instance, arrêtés à 300 fr. (art. 74a al. 1 TFJC [tarif du 28 septembre 2010 des frais judiciaires civils, RSV 270.11.5]), sont mis à la charge de la recourante, qui succombe.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O.________. IV. L'arrêt est exécutoire. Le président :              La greffière : Du L'arrêt qui précède, dont la rédaction a été approuvée à huis clos, est notifié à : ‑ O.________, ‑ Z.________, ‑ Y.________, curateur OCTP, ‑ Me Alexa Landert, curatrice ad hoc de représentation, et communiqué à : ‑ Mme la Juge de paix du district de la Broye – 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