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993 vom 13. November 2018</w:t>
      </w:r>
    </w:p>
    <w:p>
      <w:r>
        <w:t>VD Tribunal cantonal, 2018-11-13, FR</w:t>
      </w:r>
    </w:p>
    <w:p>
      <w:r>
        <w:rPr>
          <w:b/>
        </w:rPr>
        <w:t xml:space="preserve">Quelle: </w:t>
      </w:r>
      <w:r>
        <w:t>https://mcp.opencaselaw.ch/entscheid/vd_findinfo_Arr_t___2018___993</w:t>
      </w:r>
    </w:p>
    <w:p>
      <w:r>
        <w:t>FR: VD_FINDINFO Arrêt / 2018 / 993 du 13 novembre 2018</w:t>
      </w:r>
    </w:p>
    <w:p>
      <w:r>
        <w:t>IT: VD_FINDINFO Arrêt / 2018 / 993 del 13 novembre 2018</w:t>
      </w:r>
    </w:p>
    <w:p>
      <w:pPr>
        <w:pStyle w:val="Heading2"/>
      </w:pPr>
      <w:r>
        <w:t>Regeste</w:t>
      </w:r>
    </w:p>
    <w:p>
      <w:r>
        <w:t>ADMISSION DE LA DEMANDE, ASSISTANCE JUDICIAIRE, DÉCISION DE RENVOI, ACCIDENT PROFESSIONNEL, ATTEINTE À LA SANTÉ PHYSIQUE, ATTEINTE À LA SANTÉ PSYCHIQUE, MESURE D'ORDRE PROFESSIONNEL | 28 LAI, 4 al. 1 LAI, 6 LPGA, 7 LPGA, 8 al. 1 LPGA</w:t>
      </w:r>
    </w:p>
    <w:p>
      <w:pPr>
        <w:pStyle w:val="Heading2"/>
      </w:pPr>
      <w:r>
        <w:t>Erwägungen</w:t>
      </w:r>
    </w:p>
    <w:p>
      <w:r>
        <w:rPr>
          <w:b/>
        </w:rPr>
        <w:t>E. 9</w:t>
      </w:r>
    </w:p>
    <w:p>
      <w:r>
        <w:t>Sur le vu de ce qui précède, il y a lieu de retenir que l’accident du 11 mars 2013 a décompensé un trouble de la personnalité présent de longue date, lequel est encore responsable à ce jour d’une incapacité de travail totale sur le marché ordinaire du travail.</w:t>
      </w:r>
    </w:p>
    <w:p>
      <w:r>
        <w:rPr>
          <w:b/>
        </w:rPr>
        <w:t>E. 10</w:t>
      </w:r>
    </w:p>
    <w:p>
      <w:r>
        <w:t>Dans ses conclusions, l’expert a relevé que le recourant avait exprimé la volonté de retrouver une activité et, partant, suggéré d’examiner la pertinence d’une mesure d’ordre professionnel sous forme d’un stage d’évaluation en milieu adapté (activité simple et répétitive de type atelier protégé). a) Les assurés invalides ou menacés d'une invalidité ont droit à des mesures de réadaptation pour autant que ces mesures soient nécessaires et de nature à rétablir, maintenir ou améliorer leur capacité de gain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art. 8 al. 3 let. b LAI; cf. également art. 15 à 18d LAI). Pour déterminer si une mesure de réadaptation d'ordre professionnel est de nature à rétablir, maintenir ou améliorer la capacité de travail,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(TFA I 370/98 du 26 août 1999 consid. 2 et les références, in VSI 2002 p. 112). b) En l'occurrence, le recourant souffre d’une atteinte à la santé qui entraîne une perte de gain importante et durable, de sorte que le droit à l'obtention d’une mesure de réadaptation – destinée à améliorer sa capacité de gain – lui est théoriquement ouvert. Compte tenu de la volonté exprimée par le recourant et des propositions faites par le docteur U.________ en lien avec l’exercice d’une activité professionnelle en milieu adapté, il convient de transmettre le dossier à l’office intimé pour qu’il examine concrètement le droit éventuel du recourant à des mesures d’ordre professionnel, puis dans un second temps le droit à une rente d’invalidité, avant de rendre une nouvelle décision.</w:t>
      </w:r>
    </w:p>
    <w:p>
      <w:r>
        <w:rPr>
          <w:b/>
        </w:rPr>
        <w:t>E. 11</w:t>
      </w:r>
    </w:p>
    <w:p>
      <w:r>
        <w:t>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1’000 fr. et être mis à la charge de l’office intimé, qui succombe (cf. art. 69 al. 1 bis LAI ; art. 49 al. 1 LPA-VD). c) Obtenant gain de cause avec l'assistance d'un mandataire professionnel, le recourant a droit à une indemnité de dépens à titre de participation aux honoraires de son conseil (art. 61 let. g LPGA), qu’il convient de fixer équitablement à 4'000 fr., montant qui couvre l’indemnité d’office à laquelle pourrait prétendre le conseil du recourant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