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991 vom 18. März 2019</w:t>
      </w:r>
    </w:p>
    <w:p>
      <w:r>
        <w:t>VD Tribunal cantonal, 2019-03-18, FR</w:t>
      </w:r>
    </w:p>
    <w:p>
      <w:r>
        <w:rPr>
          <w:b/>
        </w:rPr>
        <w:t xml:space="preserve">Quelle: </w:t>
      </w:r>
      <w:r>
        <w:t>https://mcp.opencaselaw.ch/entscheid/vd_findinfo_Arr_t___2018___991</w:t>
      </w:r>
    </w:p>
    <w:p>
      <w:r>
        <w:t>FR: VD_FINDINFO Arrêt / 2018 / 991 du 18 mars 2019</w:t>
      </w:r>
    </w:p>
    <w:p>
      <w:r>
        <w:t>IT: VD_FINDINFO Arrêt / 2018 / 991 del 18 marzo 2019</w:t>
      </w:r>
    </w:p>
    <w:p>
      <w:pPr>
        <w:pStyle w:val="Heading2"/>
      </w:pPr>
      <w:r>
        <w:t>Regeste</w:t>
      </w:r>
    </w:p>
    <w:p>
      <w:r>
        <w:t>LÉSION CORPORELLE ASSIMILÉE À UN ACCIDENT, LÉSION DE L'ÉPAULE, LIEN DE CAUSALITÉ | 6 LAA, 9 OLAA</w:t>
      </w:r>
    </w:p>
    <w:p>
      <w:pPr>
        <w:pStyle w:val="Heading2"/>
      </w:pPr>
      <w:r>
        <w:t>Erwägungen</w:t>
      </w:r>
    </w:p>
    <w:p>
      <w:r>
        <w:rPr>
          <w:b/>
        </w:rPr>
        <w:t>E. 16</w:t>
      </w:r>
    </w:p>
    <w:p>
      <w:r>
        <w:t>02 OK") et que pour l'incapacité dès le 5 mai 2015 "il n'y a plus d'explication en rapport avec l'accident". Le 10 novembre 2015, il admet que l'incapacité de travail peut être prise en charge jusqu’en septembre 2015 ("au vu des douleurs et que le traitement continue il faut accepter l’incapacité 05-08-09"). Il concède néanmoins que "il est nécessaire d'avoir des renseignements sur l'état actuel". Le 25 octobre 2016, à la question de G.________ « L’incapacité de travail est-elle établie ? existe-t-il selon toute vraisemblance, un lien de causalité entre l’IT et l’accident ? », le Dr V.________ répond «probablement », jusqu’au 23.09.2015 et « pas de causalité certaine ou hautement vraisemblable » pour l’incapacité du 18 au 28 juillet 2016. Le Dr D.________ n'est guère plus disert, vu qu'il se contente d'indiquer, dans le questionnaire de G.________ du 28 février 2017, que le status quo sine est atteint au 1 er juin 2015 et que les troubles de l'épaule sont probablement dus à l'activité professionnelle de l'assuré. Il ne répond pas à la question de savoir si l'IRM préconisée par le Dr P.________ dans son rapport du 9 décembre 2016 pourrait être utile. Il confirme ses observations dans un avis du 30 mai 2017 en indiquant uniquement " 1.06.2015 STATUS QUO SINE ATTEINT. SYMPTOMATOLOGIE DUE A SON TRAVAIL". Les deux médecins-conseils n'ont visiblement pas effectué un examen approfondi de la situation, leurs conclusions procédant d'une motivation tout à fait inexistante. Ils ne parviennent d'ailleurs même pas à s'entendre sur la date du statu quo sine. Sur ce point, les errances du Dr V.________ qui a changé à plusieurs reprises d'avis quant à la date du status quo sine, ne font que jeter un peu plus le doute sur le sérieux de l'instruction menée par l'intimée à l'égard du dossier de l'assuré. Le 25 janvier 2016, l’intimée a informé l’assuré qu'elle entendait mettre en œuvre une expertise afin de faire le point sur sa situation médicale. A cette date, elle ne s'estimait visiblement pas suffisamment renseignée pour décider de la suite à donner au cas de l’assuré. Cela étant, il ressort du dossier que cette expertise n'a finalement jamais été ordonnée, alors même que les premières modalités de mise en œuvre avait été initiée, puisque le nom de trois chirurgiens orthopédistes avait été retenu dans ce cadre. Rien au dossier ne renseigne sur les raisons pour lesquelles l’intimée a considéré en définitive qu’elle disposait des éléments nécessaires pour trancher le cas. On ne saurait pourtant déduire des avis du Dr D.________, qui intervient au dossier dès 2017, des arguments suffisamment convainquant pour se passer de l’expertise prévue. On ne déduit pas non plus des autres avis médicaux au dossier le moment à partir duquel les lésions que présentent le recourant n’ont plus qu’une origine maladive ou dégénérative. A cet égard, on rappellera qu'il n'est en l'occurrence pas question d'évaluer le cas sous l'angle de la vraisemblance prépondérante comme on le ferait en application de l'art. 6 LAA mais sous celui de l'art 9 OLAA qui demande un degré de preuve supplémentaire quand il s'agit d'admettre le retour du statu quo. Les médecins du CHUV en particulier ne se prononcent pas, dans leurs rapports successifs, sur le statu quo ou sur l’origine des lésions que présente encore le recourant. Ils n’évoquent nullement l’évolution de l’état de santé du recourant en regard de l’accident subi en novembre 2014. Quant au Dr P.________, il n’exclut jamais l’origine accidentelle des lésions que présente son patient. Cela étant, le caractère succinct de ses rapports est également à déplorer et l'on ne saurait se rallier sans autre considération à ses observations. En définitive, les documents au dossier ne permettent pas d’apprécier si, comme le soutient l’intimée sur la base des rapports de ses médecins-conseil, le caractère désormais exclusivement maladif ou dégénératif de l’atteinte à l'épaule était clairement établi au 18 juillet 2016. c) Il convient dès lors d’admettre le recours et de renvoyer le dossier à l’intimée - à qui il appartient au premier chef d’instruire, conformément au principe inquisitoire qui régit la procédure dans le domaine des assurances sociales selon l’art. 43 al. 1 LPGA –, afin qu’elle clarifie les aspects médicaux du cas par voie d'expertise, et détermine l'origine des lésions constatées à l'épaule droite. 5. a) Il n'y a pas lieu de percevoir de frais de justice, la procédure étant gratuite (art. 61 let. a LPGA). b) Le recourant, qui obtient gain de cause avec le concours d’un syndicat qui peut se voir accorder des dépens (ATF 126 V 11 consid. 2),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convient d’arrêter le montant des dépens à 1'500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