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915 vom 2. November 2018</w:t>
      </w:r>
    </w:p>
    <w:p>
      <w:r>
        <w:t>VD Tribunal cantonal, 2018-11-02, FR</w:t>
      </w:r>
    </w:p>
    <w:p>
      <w:r>
        <w:rPr>
          <w:b/>
        </w:rPr>
        <w:t xml:space="preserve">Quelle: </w:t>
      </w:r>
      <w:r>
        <w:t>https://mcp.opencaselaw.ch/entscheid/vd_findinfo_Arr_t___2018___915</w:t>
      </w:r>
    </w:p>
    <w:p>
      <w:r>
        <w:t>FR: VD_FINDINFO Arrêt / 2018 / 915 du 2 novembre 2018</w:t>
      </w:r>
    </w:p>
    <w:p>
      <w:r>
        <w:t>IT: VD_FINDINFO Arrêt / 2018 / 915 del 2 novembre 2018</w:t>
      </w:r>
    </w:p>
    <w:p>
      <w:pPr>
        <w:pStyle w:val="Heading2"/>
      </w:pPr>
      <w:r>
        <w:t>Regeste</w:t>
      </w:r>
    </w:p>
    <w:p>
      <w:r>
        <w:t>CURATEUR, ENFANT, CONFLIT D'INTÉRÊTS, INDÉPENDANCE DE L'AVOCAT | 306 al. 2 CC, 12 let. c LLCA</w:t>
      </w:r>
    </w:p>
    <w:p>
      <w:pPr>
        <w:pStyle w:val="Heading2"/>
      </w:pPr>
      <w:r>
        <w:t>Erwägungen</w:t>
      </w:r>
    </w:p>
    <w:p>
      <w:r>
        <w:rPr>
          <w:b/>
        </w:rPr>
        <w:t>E. 1.1</w:t>
      </w:r>
    </w:p>
    <w:p>
      <w:r>
        <w:t>Le recours est dirigé contre une ordonnance de mesures provisionnelles instaurant une curatelle de représentation à forme de l'art. 306 al. 2 CC.</w:t>
      </w:r>
    </w:p>
    <w:p>
      <w:r>
        <w:rPr>
          <w:b/>
        </w:rPr>
        <w:t>E. 1.2</w:t>
      </w:r>
    </w:p>
    <w:p>
      <w:r>
        <w:t>Le recours de l'art. 450 CC est ouvert à la Chambre des curatelles contre la décision attaquée (art. 8 LVPAE [Loi du 29 mai 2012 d'application du droit fédéral de la protection de l'adulte et de l'enfant ; RSV 211.255] et 76 al. 2 LOJV [Loi d'organisation judiciaire du 12 décembre 1979 ; RSV 173.01]), dans les dix jours dès la notification de la décision (art. 445 al. 3 CC).</w:t>
      </w:r>
    </w:p>
    <w:p>
      <w:r>
        <w:rPr>
          <w:b/>
        </w:rPr>
        <w:t>E. 1.3.1</w:t>
      </w:r>
    </w:p>
    <w:p>
      <w:r>
        <w:t>L’intimé B.C.________ conclut principalement à l’irrecevabilité du recours, au motif que celui-ci ne serait pas motivé et ne contiendrait pas de conclusions ; il s’agirait d’une simple demande de reconsidération. Il conteste également la qualité pour recourir de B.________. A.________, représentée par son curateur Me [...], soutient également que B.________ n’aurait pas la qualité pour recourir, dès lors qu’il n’était pas partie à la procédure de première instance, qu’il ne s’agirait pas d’un proche et qu’il n’aurait aucun intérêt juridique à l’annulation ou à la modification de la décision</w:t>
      </w:r>
    </w:p>
    <w:p>
      <w:r>
        <w:rPr>
          <w:b/>
        </w:rPr>
        <w:t>E. 1.3.2</w:t>
      </w:r>
    </w:p>
    <w:p>
      <w:r>
        <w:t>Le recours doit être dûment motivé et interjeté par écrit (art. 450 al. 3 CC). Si les exigences de motivation ne doivent pas être trop élevées (TF 5A_922/2015 du</w:t>
      </w:r>
    </w:p>
    <w:p>
      <w:r>
        <w:rPr>
          <w:b/>
        </w:rPr>
        <w:t>E. 1.3.3</w:t>
      </w:r>
    </w:p>
    <w:p>
      <w:r>
        <w:t>Les personnes parties à la procédure, les proches de la personne concernée et les personnes qui ont un intérêt juridique à l'annulation ou à la modification de la décision attaquée ont qualité pour recourir (art. 450 al. 2 CC).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(ATF 141 III 353 consid. 4.2, FamPra.ch 2016 333 ; TF 5A_979/2013 du 28 mars 2014 consid. 6). Dans cette mesure, le chiffre 1 de l’art. 450 al. 2 CC n’a pas de portée propre (Fassbind, Erwachsenenschutz, 2012, p. 138). Il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convoquée en audience – ou encore que la décision lui ait été notifiée (CCUR 24 mars 2016/64 consid. 2.2).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 concernée ; les proches peuvent également figurer parmi les personnes elles-mêmes touchées (Steck, Commentaire du droit de la famille [CommFam], Protection de l'adulte, Berne 2013, n. 24 ss. ad art. 450 CC). La légitimation à recourir du tiers suppose un intérêt juridique qui doit être sauvegardé par le droit de la protection de l'adulte. Un tiers qui n'est pas un proche n'est en outre habilité à recourir au sens de l'art. 450 al. 2 ch. 3 CC que s'il fait valoir une violation de ses propres droits. En d'autres termes, un tiers non proche peut recourir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5A_124/2015 du 28 mai 2015 consid. 5.1 et les références citées ; TF 5A_979/2013 du 28 mars 2014 consid. 2 et 4.2; ATF 137 III 67 consid. 3.1 ss, JdT 2012 II 373).</w:t>
      </w:r>
    </w:p>
    <w:p>
      <w:r>
        <w:rPr>
          <w:b/>
        </w:rPr>
        <w:t>E. 1.3.4</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7 ad art. 450a CC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(Droit de la protection de l’enfant, Guide pratique COPMA, Zurich/St-Gall 2017, n. 5.84, p. 182). Conformément à l’art. 450d CC, la Chambre des curatelles donne à la justice de paix (art. 4 al. 1 LVPAE) l’occasion de prendre position (al. 1), cette autorité pouvant, au lieu de prendre position, reconsidérer sa décision (al. 2).</w:t>
      </w:r>
    </w:p>
    <w:p>
      <w:r>
        <w:rPr>
          <w:b/>
        </w:rPr>
        <w:t>E. 1.4</w:t>
      </w:r>
    </w:p>
    <w:p>
      <w:r>
        <w:t>En l’espèce, l’acte du 2 août 2018 a été déposé en temps utile. Si ce courrier a été adressé au juge de première instance, il n’en demeure pas moins que le recourant n’a pas réagi au courrier de celui-ci transmettant le dossier à l’autorité de recours et qu’il a procédé à l’avance de frais requise, de sorte que l’on doit admettre que B.________ avait l’intention de recourir contre la décision du 24 juillet 2018. Le recourant sollicite la révocation du mandat de Me [...] et la nomination d’un nouveau curateur. Il a expliqué les motifs de sa requête, à savoir l’existence d’un conflit d’intérêts. Partant, contenant des conclusions claires et suffisamment motivé, le recours est recevable à la forme. S’agissant de la qualité pour recourir de B.________, il résulte de la jurisprudence précitée que son statut de « signalant » ne suffit pas à lui conférer la qualité de partie. Il n’a en outre pas d’intérêt digne de protection à la modification de la décision entreprise. Reste qu’il est l’oncle d’A.________, de sorte que la qualité de proche doit lui être reconnue. Il a par conséquent la qualité pour recourir au sens de l’art. 450 al. 2 ch. 2 CC. Partant, le recours est recevable, de même que les pièces produites en deuxième instance. L’autorité de première instance a en outre renoncé à reconsidérer sa décision par courrier du 20 août 2018.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l’occurrence, les parents de l’enfant ont déposé des déterminations écrites et la juge de paix a procédé à l’audition d’A.________. La décision entreprise est donc formellement correcte et peut être examinée sur le fond. 3. 3.1 Le recourant sollicite la nomination d’un autre curateur à l’enfant A.________, au motif qu’il existerait un conflit d’intérêts à ce que Me [...] assume ce mandat, dès lors que Me [...], associé de Me [...], a précédemment représenté les intérêts des parents d’A.________ dans le cadre d’autres procédures. L’intimé B.C.________ fait valoir que seul un conflit d’intérêts concret permettrait de s’opposer à la nomination de Me [...] en qualité de curateur, conflit d’intérêts inexistant en l’espèce, dans la mesure où quatorze années se sont écoulées depuis la procédure pénale invoquée par le recourant. De plus, les faits portés à la connaissance de l’actuel associé du curateur dans le cadre de cette procédure pénale n’auraient aucun lien avec la procédure pour laquelle Me [...] a été nommé curateur. A.________, représentée par son curateur, conteste également l’existence d’un quelconque conflit d’intérêts. 3.2 3.2.1 L'art. 306 al. 2 CC prévoit que, si, dans une affaire, les intérêts des père et mère entrent en conflit avec ceux de l'enfant, l'autorité de protection de l'enfant nomme un curateur ou prend elle-même les mesures nécessaires. Il est évident que, si l'enfant est incapable de discernement, un curateur devra être désigné en cas de conflit d'intérêts (Steinauer/Fountoulakis, Droit des peresonnes physiques et de la protection de l’adulte, 2014, n. 257, p. 89). L’existence d’un conflit d’intérêts se détermine par conséquent de manière abstraite et non concrète (ATF 118 II 101, JdT 1995 I 103 ; ATF 107 II 105, JdT 1982 I 106 ; TF 5C.84/2004 du 2 septembre 2004 consid. 2.1). En principe, un conflit d’intérêts doit toujours être admis lorsque le représentant a des intérêts propres dans l’affaire, indépendamment du fait que, dans le cas concret, ils sont ou non en contradiction avec ceux du représenté (ATF 121 III 1; Geiser, Commentaire du droit de la famille [CommFam], Protection de l’adulte, Berne 2013, n. 27 ad art. 365 CC et les réf. citées). 3.2.2 Parmi les règles professionnelles que doit respecter l'avocat, l'art. 12 let. c LLCA (loi fédérale du 23 juin 2000 sur la libre circulation des avocats ; RS 935.61) prévoit que celui-ci doit éviter tout conflit entre les intérêts de son client et ceux des personnes avec lesquelles il est en relation sur le plan professionnel ou privé. L'interdiction de plaider en cas de conflit d'intérêts découle de l'obligation d'indépendance ainsi que du devoir de diligence de l'avocat (ATF 138 II 162 consid. 2.5.2 ; TF 2C_889/2008 du 21 juillet 2009 consid. 3.1.3 ; Bohnet/Martenet, Droit de la profession d’avocat, Berne 2009, n. 1395 p. 576).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Un risque théorique et abstrait de conflit d'intérêt ne suffit pas : le risque doit être concret (ATF 135 II 145 consid. 9.1; ATF 134 II 108 consid. 4.2, JdT 2009 I 333).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Aux termes de l’art. 13 du Code suisse de déontologie, édicté par la Fédération suisse des avocats, l’avocat n’accepte pas un nouveau mandat si le secret des informations données par un ancien client risque d’être violé ou lorsque la connaissance des affaires d’un précédent client pourrait porter préjudice à ce dernier. 3.3 En l’espèce, le père de l’enfant a ouvert des actions successorales, tendant notamment à faire constater que sa fille n’est pas héritière dans la succession de W.________. Il existe donc manifestement un conflit d’intérêts à ce qu’il représente les intérêts de celle-ci dans la succession précitée, ce qui n’est au demeurant pas contesté par les parties. Il se justifiait en outre de désigner un avocat en qualité de curateur, dans la mesure où il est en l’occurrence indispensable que celui-ci dispose de qualifications professionnelles, notamment en droit des successions. C’est également à juste titre que le premier juge n’a pas tenu compte des propositions de curateur faites par les parties, au vu des importantes rivalités existant entre elles. S’agissant du conflit d’intérêts plaidé par le recourant, on relèvera tout d’abord qu’il ne s’agit pas de mandats simultanés, puisque Me [...] a défendu les intérêts des parents d’A.________ il y a plus de quinze ans. Le recourant n’établit en effet pas que Me [...] défendrait encore actuellement les intérêts de A.C.________ et B.C.________ dans quelque procédure que ce soit. Il n’a de plus produit aucun élément de preuve établissant un lien d’amitié entre Me [...] et les parents d’A.________ qui permettrait de douter que les intérêts de celle-ci ne seront pas correctement défendus. Par ailleurs, le mandat de curatelle a quoi qu’il en soit été confié non pas à Me [...], mais à Me [...], qui n’était à l’époque pas associé à Me [...] lorsque celui-ci avait été mandaté par les parents d'A.________. Il n’existe par conséquent aucun risque que le curateur détienne des informations qui pourraient porter préjudice à A.________. En l’absence de risque concret de conflit d’intérêts, il y a lieu de confirmer la nomination de Me [...] en qualité de curateur de représentation d’A.________.</w:t>
      </w:r>
    </w:p>
    <w:p>
      <w:r>
        <w:rPr>
          <w:b/>
        </w:rPr>
        <w:t>E. 4</w:t>
      </w:r>
    </w:p>
    <w:p>
      <w:r>
        <w:t>En conclusion, le recours doit être rejeté. Les frais judiciaires de deuxième instance, arrêtés à 600 fr. (art. 74a al. 1 TFJC [Tarif du 28 septembre 2010 des frais judiciaires civils ; RSV 270.11.5]), doivent être mis à la charge du recourant, qui succombe. Les intimés A.C.________ et B.C.________ s’étant déterminés sur le recours, il y a lieu de leur allouer des dépens fixés à 1'500 francs. Le curateur, qui s’est également déterminé sur le recours, sera indemnisé par l’autorité de protection qui l’a désigné (art. 3 al. 1 RCur [règlement du 18 décembre 2012 sur la rémunération des curateurs ; RSV 211.255.2]). Par ces motifs, la Chambre des curatelles du Tribunal cantonal, statuant à huis clos, prononce : I. Le recours est rejeté. II. La décision est confirmée. III. Les frais judiciaires de deuxième instance, arrêtés à 600 fr. (six cents francs), sont mis à la charge de B.________. IV. Le recourant B.________ doit verser aux intimés B.C.________ et A.C.________, solidairement entre eux, la somme de 1'500 fr. (mille cinq cents francs) à titre de dépens de deuxième instance. V. L'arrêt est exécutoire. Le président :              La greffière : Du L'arrêt qui précède, dont la rédaction a été approuvée à huis clos, est notifié à : ‑ Mes Ronald Asmar et Romain Jordan (pour B.________) ; ‑ Me Antoine Eigenmann (pour A.C.________ et B.C.________) ; - Me [...]. et communiqué à : ‑ Mme le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