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90 vom 12. Januar 2018</w:t>
      </w:r>
    </w:p>
    <w:p>
      <w:r>
        <w:t>VD Tribunal cantonal, 2018-01-12, FR</w:t>
      </w:r>
    </w:p>
    <w:p>
      <w:r>
        <w:rPr>
          <w:b/>
        </w:rPr>
        <w:t xml:space="preserve">Quelle: </w:t>
      </w:r>
      <w:r>
        <w:t>https://mcp.opencaselaw.ch/entscheid/vd_findinfo_Arr_t___2018___90</w:t>
      </w:r>
    </w:p>
    <w:p>
      <w:r>
        <w:t>FR: VD_FINDINFO Arrêt / 2018 / 90 du 12 janvier 2018</w:t>
      </w:r>
    </w:p>
    <w:p>
      <w:r>
        <w:t>IT: VD_FINDINFO Arrêt / 2018 / 90 del 12 gennaio 2018</w:t>
      </w:r>
    </w:p>
    <w:p>
      <w:pPr>
        <w:pStyle w:val="Heading2"/>
      </w:pPr>
      <w:r>
        <w:t>Regeste</w:t>
      </w:r>
    </w:p>
    <w:p>
      <w:r>
        <w:t>CURATELLE DE REPRÉSENTATION{ART. 394 CC}, CURATELLE DE REPRÉSENTATION AYANT POUR OBJET LA GESTION DU PATRIMOINE, ADMISSION DE LA DEMANDE, CURATELLE D'ACCOMPAGNEMENT | 393 CC, 394 al. 1 CC, 395 al. 1 CC, 450 CC</w:t>
      </w:r>
    </w:p>
    <w:p>
      <w:pPr>
        <w:pStyle w:val="Heading2"/>
      </w:pPr>
      <w:r>
        <w:t>Erwägungen</w:t>
      </w:r>
    </w:p>
    <w:p>
      <w:r>
        <w:rPr>
          <w:b/>
        </w:rPr>
        <w:t>E. 1</w:t>
      </w:r>
    </w:p>
    <w:p>
      <w:r>
        <w:t>Le recours est dirigé contre une décision de la justice de paix instituant une curatelle de représentation à forme de l’art. 394 al. 1 CC et de gestion au sens de l’art. 395 al. 1 CC en faveur de S.________.</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w:t>
      </w:r>
    </w:p>
    <w:p>
      <w:r>
        <w:rPr>
          <w:b/>
        </w:rPr>
        <w:t>E. 1.2</w:t>
      </w:r>
    </w:p>
    <w:p>
      <w:r>
        <w:t>En l’espèce, motivé et interjeté en temps utile par la personne concernée, le présent recours est recevable. Il en va de même de la pièce produite en deuxième instance, si tant est qu’elle ne figure pas déjà au dossier. L'autorité de protection a été consultée conformément à l’art. 450d al. 1 CC. Vu l’issue du recours, il n’a pas été donné suite à la réquisition du recourant tendant à l’audition du docteur Q.________.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le juge de paix a procédé seul à l'audition de S.________ lors de son audience du 10 octobre 2017. Ce dernier a alors expressément renoncé à son audition par la justice de paix en corps, de sorte que son droit d’être entendu a été respecté. La décision entreprise est donc formellement correcte et peut être examinée sur le fond. 3. Le recourant conteste la curatelle de gestion instituée en sa faveur. Il explique qu’il a besoin d’une curatelle de représentation pour l’aider, mais pas d’une curatelle de gestion de son patrimoine, dès lors qu’ils sont déjà deux dans le ménage à s’occuper des finances, que cela fait plusieurs années qu’ils fonctionnent ainsi et que l’intervention d’une tierce personne n’est pas utile, perturbante et infantilisante. 3.1 3.1.1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n. 722, p. 367 ; Guide pratique COPMA 2012,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n. 729, p. 370 ; Guide pratique COPMA 2012, n. 5.10, p. 138). 3.1.2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Une curatelle d’accompagnement peut être prononcée conjointement à une curatelle de représentation ou de coopération (art. 397 CC), mais une telle combinaison ne sera en aucun cas possible si l’intéressé ne donne pas son consentement ou le retire (Meier, CommFam, n. 14 ad art. 393 CC, p. 427 ; Meier, Droit de la protection de l’adulte, nn. 799 et 802, pp. 397 et 398).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nn. 5.23 et 5.25, p. 143 ; Meier, CommFam, nn. 17, 18 et 20 ad art. 393 CC, pp. 428 ss). 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n. 818, p. 405).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La curatelle de gestion constitue une forme spéciale de curatelle de représentation et non une mesure de protection distincte (Meier, CommFam, n. 3 ad art. 395 CC, p. 450 ; Meier, Droit de la protection de l’adulte,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 835 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La curatelle de gestion a pour objectif la protection du patrimoine. Sa mise en oeuvre peut avoir des effets indirects sur l’assistance personnelle. Cependant, les tâches d’assistance personnelle comme telles doivent faire l’objet d’une curatelle d’accompagnement (art. 393 CC) ou de représentation stricto sensu (art. 394 CC ; Meier, CommFam, n. 13 ad art. 395 CC, p. 453).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consid. 4.3, JdT 2014 II 331).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 3.2.1 Par courrier du 23 août 2017, le recourant a sollicité l’institution d’une curatelle en sa faveur au motif qu’il rencontrait des difficultés dans la gestion administrative et financière de ses affaires, plusieurs factures n’ayant pas été réglées. Il a relevé que cette gestion pesait sur sa santé psychique et qu’il avait besoin de s’en décharger. A l’appui de sa requête, il a produit une attestation de son psychiatre dans laquelle ce dernier suggérait le prononcé d’une mesure de protection de type curatelle volontaire au regard de l’évolution de l’état de santé de son patient, estimant qu’il avait besoin d’aide dans la gestion de ses affaires administratives et financières. Il n’est pas contesté que les conditions de l’art. 390 CC sont réalisées, le recourant lui-même sollicitant une mesure de protection. Il résulte toutefois du dossier que ce dernier ne fait pas de dépenses excessives et ne s’engage pas de façon inconsidérée. Il a besoin d’une tierce personne pour lui fournir des explications et le soutenir au niveau administratif. Ainsi, il nécessite un soutien et une aide dans la gestion de ses affaires administratives et financières. Il est cependant capable de gérer ses affaires par lui-même, avec l’aide d’un curateur. Un besoin de représentation n’est ainsi pas réalisé. Une curatelle d’accompagnement est par conséquent nécessaire et suffisante pour lui assurer la protection dont il a besoin. 3.2.2. La justice de paix a nommé une curatrice privée comme curatrice du recourant. Celle-ci peut être maintenue dans ses fonctions en qualité de curatrice d’accompagnement dès lors que la mesure instituée dans le cadre du recours est plus légère et que le recourant se montrera vraisemblablement coopératif puisqu’il a lui-même demandé sa mise sous curatelle.</w:t>
      </w:r>
    </w:p>
    <w:p>
      <w:r>
        <w:rPr>
          <w:b/>
        </w:rPr>
        <w:t>E. 4</w:t>
      </w:r>
    </w:p>
    <w:p>
      <w:r>
        <w:t>En conclusion, le recours de S.________ doit être admis et la décision entreprise réformée aux chiffres II, IV, V et VI de son dispositif en ce sens qu’une curatelle d’accompagnement au sens de l’art. 393 CC est instituée en sa faveur et que les chiffres IV, V et VI sont supprimés. La décision attaquée est confirmée pour le surplus. Le présent arrêt peut être rendu sans frais judiciaires (art. 74a al. 4 TFJC [Tarif du 28 septembre 2010 des frais judiciaires civils ; RSV 270.11.5]). Quand bien même le recourant obtient gain de cause, il n’y a pas lieu de lui allouer de dépens de deuxième instance. En effet, il n'a pas procédé par l’intermédiaire d’un mandataire professionnel et la justice de paix n’a pas qualité de partie, mais d’autorité de première instance, de sorte qu’elle ne saurait être condamnée à des dépens (ATF 140 III 335 ; TF 5A_356/2014 du 14 août 2014 consid. 4.2 et 5 ; Tappy, CPC commenté, Bâle 2011, n. 34 ad art. 107 CPC, p. 426). Par ces motifs, la Chambre des curatelles du Tribunal cantonal, statuant à huis clos, prononce : I. Le recours est admis. II. La décision est réformée aux chiffres II, IV, V et VI de son dispositif comme il suit : II. institue une curatelle d’accompagnement au sens de l’art. 393 CC en faveur de S.________, né le [...] 1967, fils de [...] et [...], originaire de [...], célibataire, domicilié à [...], [...]. IV à VI.              supprimés. La décision est confirmée pour le surplus. III. L’arrêt est rendu sans frais judiciaires de deuxième instance. Le président :              La greffière : Du L'arrêt qui précède, dont la rédaction a été approuvée à huis clos, est notifié à : ‑ M. S.________, ‑ Mme F.________,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