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866 vom 15. Oktober 2018</w:t>
      </w:r>
    </w:p>
    <w:p>
      <w:r>
        <w:t>VD Tribunal cantonal, 2018-10-15, FR</w:t>
      </w:r>
    </w:p>
    <w:p>
      <w:r>
        <w:rPr>
          <w:b/>
        </w:rPr>
        <w:t xml:space="preserve">Quelle: </w:t>
      </w:r>
      <w:r>
        <w:t>https://mcp.opencaselaw.ch/entscheid/vd_findinfo_Arr_t___2018___866</w:t>
      </w:r>
    </w:p>
    <w:p>
      <w:r>
        <w:t>FR: VD_FINDINFO Arrêt / 2018 / 866 du 15 octobre 2018</w:t>
      </w:r>
    </w:p>
    <w:p>
      <w:r>
        <w:t>IT: VD_FINDINFO Arrêt / 2018 / 866 del 15 ottobre 2018</w:t>
      </w:r>
    </w:p>
    <w:p>
      <w:pPr>
        <w:pStyle w:val="Heading2"/>
      </w:pPr>
      <w:r>
        <w:t>Regeste</w:t>
      </w:r>
    </w:p>
    <w:p>
      <w:r>
        <w:t>CURATELLE, COMPÉTENCE RATIONE LOCI | 442 al. 1 CC, 449a CC</w:t>
      </w:r>
    </w:p>
    <w:p>
      <w:pPr>
        <w:pStyle w:val="Heading2"/>
      </w:pPr>
      <w:r>
        <w:t>Erwägungen</w:t>
      </w:r>
    </w:p>
    <w:p>
      <w:r>
        <w:rPr>
          <w:b/>
        </w:rPr>
        <w:t>E. 1</w:t>
      </w:r>
    </w:p>
    <w:p>
      <w:r>
        <w:t>.</w:t>
      </w:r>
    </w:p>
    <w:p>
      <w:r>
        <w:rPr>
          <w:b/>
        </w:rPr>
        <w:t>E. 1.1</w:t>
      </w:r>
    </w:p>
    <w:p>
      <w:r>
        <w:t>Le recours est dirigé contre une décision de l’autorité de protection instituant une curatelle ad de représentation au sens de l’art. 449a CC.</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 e éd., Bâle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 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Selon les situations, le recours sera par conséquent de nature réformatoire ou cassatoire (Guide pratique COPMA 2017, n. 5.84, p. 182).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Basler Kommentar, n. 7 ad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Conformément à l'art. 450d CC, la Chambre des curatelles donne à la justice de paix (art.</w:t>
      </w:r>
    </w:p>
    <w:p>
      <w:r>
        <w:rPr>
          <w:b/>
        </w:rPr>
        <w:t>E. 1.3</w:t>
      </w:r>
    </w:p>
    <w:p>
      <w:r>
        <w:t>En l’espèce, motivé et interjeté en temps utile par la personne concernée, le recours est recevable. Il en va de même des pièces produites par le recourant, si tant est qu’elles ne figuraient pas au dossier de première instance. Au vu du sort de la cause, la justice de paix n’a pas été invitée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La personne concernée doit être entendue personnellement, à moins que l’audition personnelle ne paraisse disproportionnée (art. 447 al. 1 CC). 2.3 En l’espèce, H.________ a été convoqué à pas moins de quatre audiences auxquelles il ne s’est jamais présenté sans motifs valables. Il y a lieu d’admettre que son droit d’être entendu n’a pas été violé (cf. art. 219 et 234 al. 1 CPC, par renvoi de l’art. 450f CC). 3. 3.1 Le recourant fait valoir que la Justice de paix du district de Lausanne n’est pas compétente pour statuer dans cette cause dès lors que son domicile se trouve dans un autre district et que l’art. 442 CC n’est pas applicable. 3.2 Selon l’art. 442 al. 1 1 ère phrase CC, l’autorité de protection de l’adulte compétente est celle du lieu de domicile de la personne concernée. Il résulte de cette disposition que le for ordinaire en matière de protection de l’adulte est fixé au domicile de la personne concernée au moment de l’ouverture de la procédure (Meier, Droit de la protection de l’adulte, Genève/Zurich/Bâle 2016, n. 126, p. 61). Dès lors que le droit fédéral ne définit pas la notion « d’ouverture de la procédure » ou « litispendance », il y a lieu de se référer aux dispositions de droit cantonal (Meier, ibidem, nn. 190 et 191, p. 95). Dans le canton de Vaud, l’art. 13 LVPAE – intitulé « litispendance » – prévoit à son alinéa 1 lettre a que la procédure devant l’autorité de protection est notamment introduite par un signalement. Enfin, selon l’art. 442 al. 1 2 e phrase CC, lorsqu’une procédure est en cours, la compétence demeure acquise jusqu’à son terme. Ainsi le changement de domicile de la personne concernée en cours de procédure n’a aucune incidence sur le for (Meier, ibidem, n. 128, p. 63). 3.3 En l’espèce, la curatelle de représentation au sens de l’art. 449a CC a été instituée dans le cadre d’une procédure en institution d’une curatelle ouverte à la suite d’un signalement du 26 juillet 2017 antérieur au changement de domicile de H.________ annoncé le 4 octobre 2017. La compétence ratione loci existant au moment de la saisine du juge est demeurée acquise nonobstant le déménagement du recourant dans un autre district.</w:t>
      </w:r>
    </w:p>
    <w:p>
      <w:r>
        <w:rPr>
          <w:b/>
        </w:rPr>
        <w:t>E. 4</w:t>
      </w:r>
    </w:p>
    <w:p>
      <w:r>
        <w:t>al. 1 LVPAE) l'occasion de prendre position (al. 1), cette autorité pouvant, au lieu de prendre position, reconsidérer sa décision (al. 2).</w:t>
      </w:r>
    </w:p>
    <w:p>
      <w:r>
        <w:rPr>
          <w:b/>
        </w:rPr>
        <w:t>E. 4.1</w:t>
      </w:r>
    </w:p>
    <w:p>
      <w:r>
        <w:t>Selon l'art. 449a CC, l'autorité de protection de l'adulte ordonne, si nécessaire, la représentation de la personne concernée dans la procédure et désigne curateur une personne expérimentée en matière d'assistance et dans le domaine juridique, soit d’une personne disposant d’expérience et de connaissances de droit de la protection de l’adulte et en matière de procédure (Steck, Commentaire du droit de la famille [CommFam], Protection de l’adulte, Berne 2013, n. 18 ad art. 449 CC ; Auer/Marti, Basler Kommentar, op. cit., n. 11 ad 449a CC). Cette disposition est applicable largement ; même en l'absence de requête en ce sens, l'autorité doit examiner d'office si la représentation s'avère nécessaire (Auer/Marti, op. cit., n. 14 ad art. 449a CC, Steck, CommFam, n. 14 ad art. 449a CC). Un curateur doit ainsi être désigné si la personne n'est pas en mesure de défendre correctement elle-même ses intérêts et qu'elle est hors d'état de requérir elle-même la désignation d'un représentant. La loi laisse une certaine marge d'interprétation à l'autorité de protection (TF 5A_228/2018 du 30 avril 2018 consid. 3.1 ; cf. sur les conditions: TF 5A_368/2014 du 19 novembre 2014 consid. 5.2 et les références ; Meier, op. cit., n. 233, avec d'autres citations).</w:t>
      </w:r>
    </w:p>
    <w:p>
      <w:r>
        <w:rPr>
          <w:b/>
        </w:rPr>
        <w:t>E. 4.2</w:t>
      </w:r>
    </w:p>
    <w:p>
      <w:r>
        <w:t>En l’espèce, c’est à juste titre que la première juge a considéré que H.________ avait manifestement besoin d’être représenté dans le cadre de la procédure d’institution d’une curatelle le concernant, afin de faire valoir valablement ses droits. Son écriture de recours démontre également que le recourant n’a pas compris la portée de la mesure instituée, qui doit uniquement lui permettre de faire valoir ses droits dans le cadre de la procédure en institution d’une curatelle. La référence au fait qu’un conseiller fiscal, en la personne de T.________, gérait ses affaires depuis plusieurs années démontre également qu’il n’a pas compris la portée de la mesure et, concrètement qu’une représentation est nécessaire pour la défense efficace de ses droits dans l’enquête ouverte par l’autorité de protection, ledit conseiller fiscal n’ayant pas les compétences pour assurer une curatelle de représentation à forme de l’art. 449a CC. Quant à la désignation de Me Tirelli, qui répond aux exigences d’expérience et de connaissances de droit de la protection de l’adulte, elle ne prête pas le flanc à la critique et peut être confirmée.</w:t>
      </w:r>
    </w:p>
    <w:p>
      <w:r>
        <w:rPr>
          <w:b/>
        </w:rPr>
        <w:t>E. 5</w:t>
      </w:r>
    </w:p>
    <w:p>
      <w:r>
        <w:t>En conclusion, le recours doit être rejeté et la décision attaquée confirmée. Le présent arrêt peut être rendu sans frais judiciaires de deuxième instance (art. 74a al. 4 TFJC [Tarif du 28 septembre 2010 des frais judiciaires civils, RSV 270.11.5]). Par ces motifs, la Chambre des curatelles du Tribunal cantonal, statuant à huis clos, prononce : I. Le recours est rejeté. II. La décision est confirmée. III. L’arrêt est rendu sans frais judiciaires de deuxième instance. IV. L'arrêt est exécutoire. Le président :              La greffière : Du L'arrêt qui précède, dont la rédaction a été approuvée à huis clos, est notifié à : ‑ H.________, ‑ Me Ludovic Tirelli, curateur ad hoc, ‑ Q.________, curatrice,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