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655 vom 3. Juli 2018</w:t>
      </w:r>
    </w:p>
    <w:p>
      <w:r>
        <w:t>VD Tribunal cantonal, 2018-07-03, FR</w:t>
      </w:r>
    </w:p>
    <w:p>
      <w:r>
        <w:rPr>
          <w:b/>
        </w:rPr>
        <w:t xml:space="preserve">Quelle: </w:t>
      </w:r>
      <w:r>
        <w:t>https://mcp.opencaselaw.ch/entscheid/vd_findinfo_Arr_t___2018___655</w:t>
      </w:r>
    </w:p>
    <w:p>
      <w:r>
        <w:t>FR: VD_FINDINFO Arrêt / 2018 / 655 du 3 juillet 2018</w:t>
      </w:r>
    </w:p>
    <w:p>
      <w:r>
        <w:t>IT: VD_FINDINFO Arrêt / 2018 / 655 del 3 luglio 2018</w:t>
      </w:r>
    </w:p>
    <w:p>
      <w:pPr>
        <w:pStyle w:val="Heading2"/>
      </w:pPr>
      <w:r>
        <w:t>Regeste</w:t>
      </w:r>
    </w:p>
    <w:p>
      <w:r>
        <w:t>RESPONSABILITÉ DE L'EMPLOYEUR{AVS} | 14 LAVS, 52 LAVS</w:t>
      </w:r>
    </w:p>
    <w:p>
      <w:pPr>
        <w:pStyle w:val="Heading2"/>
      </w:pPr>
      <w:r>
        <w:t>Erwägungen</w:t>
      </w:r>
    </w:p>
    <w:p>
      <w:r>
        <w:rPr>
          <w:b/>
        </w:rPr>
        <w:t>E. 3</w:t>
      </w:r>
    </w:p>
    <w:p>
      <w:r>
        <w:t>a)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pour la période antérieure au 1 er janvier 2012,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La responsabilité subsidiaire au sens de l'art. 52 LAVS suppose que la personne intéressée soit un organe formel ou de fait de l'employeur assujetti à l'obligation de payer des cotisations (cf. ATF 132 III 523 consid. 4.5). c)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exceptionnelles, l'inobservation des prescriptions relatives au paiement des cotisations par l'employeur peut apparaître comme légitime et non fautive. A cet égard,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(ATF 108 V 183 consid. 2 p. 188, confirmé dans ATF 121 V 243 ; TF 9C_588/2017 du 21 novembre 2017consid. 5.2 et 9C_338/2007 du 21 avril 2008 consid. 3.1). d)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petite taille et de grandeur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(voir par exemple ATF 122 III 200 consid. 3b). e)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w:t>
      </w:r>
    </w:p>
    <w:p>
      <w:r>
        <w:rPr>
          <w:b/>
        </w:rPr>
        <w:t>E. 4</w:t>
      </w:r>
    </w:p>
    <w:p>
      <w:r>
        <w:t>a) En l’occurrence, le recourant conteste la décision attaquée en faisant valoir que la Caisse a statué sans lui faire parvenir un décompte, qu’il ignore si toutes les cotisations versées de janvier 2009 à mai 2011 ont été prises en considération et qu’il est impossible de déterminer l'évolution du défaut de cotisations au fil du temps. Il estime que sa responsabilité n’est pas établie dans ces conditions, faute pour l’intimée d’avoir apporté les éléments nécessaires en vue d’une analyse comptable et financière suffisante. Tout d’abord, il y a lieu de rappeler que le recourant était le seul gérant de la société depuis avril 2009. Or, c'est depuis le début de cette année-là que le paiement des cotisations est devenu aléatoire. En tout état de cause, comme le relève l'intimée, le recourant n'établit pas avoir contesté les décomptes qui lui étaient régulièrement adressés en sa qualité de gérant de la société. Il a en outre reçu divers rappels et sommations, sans s’y opposer davantage à l’époque. A cela s’ajoute qu’il a expressément admis la production de l'intimée dans la faillite, en signant la liste de productions du 19 décembre 2011, et qu’il n'a pas réagi à la lettre de l'office des faillites du 13 décembre 2012 l'informant du montant final de la production de la Caisse. Il est par ailleurs inexact de prétendre qu’il serait impossible de savoir depuis quand l'arriéré de cotisations s'est accumulé. La décision querellée indique en effet expressément que le retard dans le paiement des cotisations est intervenu dès le mois de février 2009 (p.</w:t>
      </w:r>
    </w:p>
    <w:p>
      <w:r>
        <w:rPr>
          <w:b/>
        </w:rPr>
        <w:t>E. 6</w:t>
      </w:r>
    </w:p>
    <w:p>
      <w:r>
        <w:t>a) En l'espèce, s'agissant du montant des cotisations et des sommations, il convient de relever que ces postes ont fait l'objet de décisions qui n'ont jamais été contestées et qui sont par conséquent définitives. On notera également que le relevé de compte produit par l'intimée prend en considérations les montants versés par la société. Du reste, l'ensemble des sommations énumérées ci-dessus totalise un montant de 155'986 fr. 65 (cf. tableau let. C supra), alors que la somme réclamée, sans les intérêts moratoires et les frais de poursuites, s'élève à 108'782 fr. 85 (compte annexe du 8 novembre 2012), ce qui démontre la prise en compte des paiements effectués. Le montant en capital ne peut donc être contesté. S'y ajoutent les frais de sommations, dont la Cour ne voit aucune raison pertinente de discuter le bien-fondé. b) S'agissant des intérêts moratoires, le recourant soutient que la somme de 6'351 fr. 30 représente des intérêts « de l'ordre de 20 % », ce qu’il estime exorbitant (réplique du 7 mai 2014 p. 3). Il ne peut toutefois être suivi. En effet, si tel était le cas, le montant de 6'351 fr. 30 correspondrait à des intérêts sur une somme de 31'756 fr. 50. Il s'agit là d'un montant se rapprochant des cotisations AVS/AI/APG des salariés (de 31'938 fr. 65 selon le compte annexe du 8 novembre 2012). Le recourant fait néanmoins abstraction des autres cotisations dues. Cela étant, peu importe. Dans sa duplique du 27 juin 2014 (p. 3), en effet, la Caisse explique que le taux des intérêts est de 5.5 % (soit 6'351.30 x 100/115'459 = 5.5). Or, l'art. 42 al. 2 RAVS prévoit que le taux des intérêts moratoires est de 5 %. A cela s’ajoute que la somme de 115'459 fr. 15 comprend les intérêts moratoires alors même que la perception d'intérêts moratoires sur des intérêts moratoires est prohibée (art. 105 al. 3 CO ; RSAS 2003 p. 500 consid. 6.1). Au regard de ces circonstances, force est de constater que les pièces au dossier de l'intimée ne permettent pas de vérifier le calcul des intérêts moratoires. Pour cette raison, il y a lieu de lui retourner la cause.</w:t>
      </w:r>
    </w:p>
    <w:p>
      <w:r>
        <w:rPr>
          <w:b/>
        </w:rPr>
        <w:t>E. 7</w:t>
      </w:r>
    </w:p>
    <w:p>
      <w:r>
        <w:t>a) En conclusion, le recours doit donc être très partiellement admis en ce sens que la décision attaquée est annulée s’agissant du montant de 6'351 fr. 30 correspondant aux intérêts moratoires, la cause étant renvoyée à la Caisse sur cette question pour qu'elle procède à un décompte clair des intérêts. Pour le surplus, la décision sur opposition du 20 novembre 2013 doit être confirmée. b) Il ne se justifie pas de percevoir de frais de justice, la procédure étant gratuite (art. 61 let. a LPGA). Compte tenu de la mesure très restreinte de l'admission du recours, le recourant succombant sur le principe, il n'y a pas lieu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