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633 vom 3. September 2018</w:t>
      </w:r>
    </w:p>
    <w:p>
      <w:r>
        <w:t>VD Tribunal cantonal, 2018-09-03, FR</w:t>
      </w:r>
    </w:p>
    <w:p>
      <w:r>
        <w:rPr>
          <w:b/>
        </w:rPr>
        <w:t xml:space="preserve">Quelle: </w:t>
      </w:r>
      <w:r>
        <w:t>https://mcp.opencaselaw.ch/entscheid/vd_findinfo_Arr_t___2018___633</w:t>
      </w:r>
    </w:p>
    <w:p>
      <w:r>
        <w:t>FR: VD_FINDINFO Arrêt / 2018 / 633 du 3 septembre 2018</w:t>
      </w:r>
    </w:p>
    <w:p>
      <w:r>
        <w:t>IT: VD_FINDINFO Arrêt / 2018 / 633 del 3 settembre 2018</w:t>
      </w:r>
    </w:p>
    <w:p>
      <w:pPr>
        <w:pStyle w:val="Heading2"/>
      </w:pPr>
      <w:r>
        <w:t>Regeste</w:t>
      </w:r>
    </w:p>
    <w:p>
      <w:r>
        <w:t>EXPERTISE PSYCHIATRIQUE, FORCE PROBANTE, DÉCISION DE RENVOI, ÉVALUATION DE L'INCAPACITÉ DE TRAVAIL | 43 LPGA, 44 LPGA</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[Tribunal fédéral des assurances] I 274/05 du 21 mars 2006 consid. 1.2 et TF [Tribunal fédéral] I 562/06 du 25 juillet 2007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existe des constellations dans lesquelles l'autorité chargée de l'application du droit peut s'écarter de l'estimation de la capacité de travail réalisée dans le cadre d'une expertise, sans pour autant que celle-ci perde sa valeur probante ; la notion de capacité de travail est une notion de droit indéterminée sur laquelle il n'appartient pas au médecin de se déterminer de manière définitive (TF 9C_10/2014 du 20 août 2014 consid.</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8</w:t>
      </w:r>
    </w:p>
    <w:p>
      <w:r>
        <w:t>En l’occurrence, compte tenu des carences dont souffre le dossier quant à l’état de santé psychique du recourant, il s’impose de procéder à une nouvelle expertise psychiatrique de ce dernier, laquelle devra cas échéant intégrer l’examen des critères jurisprudentiels pertinents (cf. en matière de troubles dépressifs : ATF 143 V 409). La cause devra par conséquent être renvoyée à l’intimé, auquel il incombe incontestablement de procéder à un tel complément au vu des lacunes de l’instruction constatées sous consid. 6e supra. Il lui appartiendra dans ce contexte d’actualiser préalablement les données médicales somatiques, la nécessité d’une évaluation bidisciplinaire étant réservée en cas de modification éventuelle de l’état de santé du recourant sous l’angle somatique.</w:t>
      </w:r>
    </w:p>
    <w:p>
      <w:r>
        <w:rPr>
          <w:b/>
        </w:rPr>
        <w:t>E. 9</w:t>
      </w:r>
    </w:p>
    <w:p>
      <w:r>
        <w:t>Il résulte de ce qui précède que le recours, bien fondé, doit être admis, la décision attaquée annulée et la cause renvoyée à l'intimé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Obtenant gain de cause, le recourant, assisté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