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2018 / 601 vom 14. August 2018</w:t>
      </w:r>
    </w:p>
    <w:p>
      <w:r>
        <w:t>VD Tribunal cantonal, 2018-08-14, FR</w:t>
      </w:r>
    </w:p>
    <w:p>
      <w:r>
        <w:rPr>
          <w:b/>
        </w:rPr>
        <w:t xml:space="preserve">Quelle: </w:t>
      </w:r>
      <w:r>
        <w:t>https://mcp.opencaselaw.ch/entscheid/vd_findinfo_Arr_t___2018___601</w:t>
      </w:r>
    </w:p>
    <w:p>
      <w:r>
        <w:t>FR: VD_FINDINFO Arrêt / 2018 / 601 du 14 août 2018</w:t>
      </w:r>
    </w:p>
    <w:p>
      <w:r>
        <w:t>IT: VD_FINDINFO Arrêt / 2018 / 601 del 14 agosto 2018</w:t>
      </w:r>
    </w:p>
    <w:p>
      <w:pPr>
        <w:pStyle w:val="Heading2"/>
      </w:pPr>
      <w:r>
        <w:t>Regeste</w:t>
      </w:r>
    </w:p>
    <w:p>
      <w:r>
        <w:t>RUPTURE DU LIEN DE CAUSALITÉ, CAUSALITÉ NATURELLE, LÉSION CORPORELLE ASSIMILÉE À UN ACCIDENT, EXPERTISE ORDONNÉE PAR L'ADMINISTRATION, FORCE PROBANTE | 6 al. 1 LAA, 6 al. 2 LAA, 9 al. 2 let. f OLAA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découle des considérants qui précèdent que l’intimée était légitimée, par sa décision sur opposition du 30 janvier 2017, à supprimer le droit du recourant aux prestations de l’assurance-accidents dès le 21 avril 2015. Mal fondé, le recours doit en conséquence être rejeté, ce qui entraîne la confirmation de la décision attaquée.</w:t>
      </w:r>
    </w:p>
    <w:p>
      <w:r>
        <w:rPr>
          <w:b/>
        </w:rPr>
        <w:t>E. 6</w:t>
      </w:r>
    </w:p>
    <w:p>
      <w:r>
        <w:t>La procédure étant en principe gratuite (art. 61 let. a LPGA), il n’y a pas lieu de percevoir de frais judiciaires, ni d’allouer de dépens au vu de l’issue du litige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