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590 vom 5. September 2018</w:t>
      </w:r>
    </w:p>
    <w:p>
      <w:r>
        <w:t>VD Tribunal cantonal, 2018-09-05, FR</w:t>
      </w:r>
    </w:p>
    <w:p>
      <w:r>
        <w:rPr>
          <w:b/>
        </w:rPr>
        <w:t xml:space="preserve">Quelle: </w:t>
      </w:r>
      <w:r>
        <w:t>https://mcp.opencaselaw.ch/entscheid/vd_findinfo_Arr_t___2018___590</w:t>
      </w:r>
    </w:p>
    <w:p>
      <w:r>
        <w:t>FR: VD_FINDINFO Arrêt / 2018 / 590 du 5 septembre 2018</w:t>
      </w:r>
    </w:p>
    <w:p>
      <w:r>
        <w:t>IT: VD_FINDINFO Arrêt / 2018 / 590 del 5 settembre 2018</w:t>
      </w:r>
    </w:p>
    <w:p>
      <w:pPr>
        <w:pStyle w:val="Heading2"/>
      </w:pPr>
      <w:r>
        <w:t>Regeste</w:t>
      </w:r>
    </w:p>
    <w:p>
      <w:r>
        <w:t>MESURE D'ORDRE PROFESSIONNEL, DROIT À LA PRESTATION D'ASSURANCE, RÉVISION{PRESTATION D'ASSURANCE}, REJET DE LA DEMANDE, ACCIDENT, ATTEINTE À LA SANTÉ PHYSIQUE, ASSISTANCE JUDICIAIRE | 17 al. 1 LAI, 4 al. 1 LAI, 17 LPGA, 6 LPGA, 7 al. 1 LPGA, 8 al. 1 LPGA</w:t>
      </w:r>
    </w:p>
    <w:p>
      <w:pPr>
        <w:pStyle w:val="Heading2"/>
      </w:pPr>
      <w:r>
        <w:t>Erwägungen</w:t>
      </w:r>
    </w:p>
    <w:p>
      <w:r>
        <w:rPr>
          <w:b/>
        </w:rPr>
        <w:t>E. 10</w:t>
      </w:r>
    </w:p>
    <w:p>
      <w:r>
        <w:t>octobre 2013. Il a en conséquence proposé le rejet du recours et le maintien de la décision attaquée. c) En réplique du 15 février 2018, l’assuré a produit un certificat médical du Dr G.________ du 9 février 2018, selon lequel le fait qu’il ne puisse plus porter de charges supérieures à 5 kg nécessitait la mise en oeuvre de mesures professionnelles. Dans ce sens, il a fait valoir que son degré d’invalidité était de 20% à tout le moins, compte tenu de l’écart séparant le revenu perçu avant son accident de celui qu’il toucherait actuellement dans une activité adaptée à son état de santé. Partant, il a conclu à l’octroi de mesures de réadaptation en sa faveur, tout en précisant qu’il renonçait à l’allocation d’une rente. d) Renvoyant dans sa duplique du 6 mars 2018 à sa réponse du 12 décembre 2017, l’office AI a réitéré ses conclusions tendant au rejet du recours et au maintien de la décision litigieuse. e) Le 5 avril 2018, l’assuré a fait savoir qu’il renonçait à la tenue de débats publics. E n  d r o i t  : 1. a) Les dispositions de la loi fédérale du 6 octobre 2000 sur la partie générale du droit des assurances sociales (LPGA ; RS 830.1) s’appliquent à l’AI (cf. art. 1 LAI [loi fédérale du 19 juin 1959 sur l'assurance-invalidité ; RS 831.20]). Les décisions sur opposition et celles contre lesquelles la voie de l'opposition n'est pas ouverte – ce qui est le cas des décisions des offices AI cantonaux (cf. art. 69 al. 1 let. a LAI) – sont sujettes à recours auprès du tribunal des assurances compétent (cf. art. 58 LPGA). Le recours doit être déposé dans les trente jours suivant la notification de la décision sujette à recours (cf. art. 60 al. 1 LPGA). Le présent recours, formé en temps utile et dans le respect des formes prévues par la loi (cf. art. 61 let. b LPGA notamment), est en conséquence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110 V 48 consid. 4a ; cf. RCC 1985 p. 53). b) En l’espèce, le recourant ne conteste pas la décision rendue par l’office AI le 20 septembre 2017 ensuite du dépôt d’une nouvelle demande de prestations, en tant qu’elle concerne le refus de l’octroi d’une rente d’invalidité. En revanche, il prétend à des mesures professionnelles, lesquelles lui ont été refusées au motif qu’il ne présentait pas une diminution de sa capacité de gain de 20% au moins. 3. a) Tant le droit au reclassement professionnel (art. 17 LAI) que le droit à une rente (art. 28 LAI) supposent que l’assuré soit invalide ou menacé d’une invalidité imminente.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Lorsque, comme en l’espèce, l’administration entre en matière sur une nouvelle demande après un refus de prestations (cf. art. 87 al. 2 et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(ATF 133 V 108 consid. 5.2 ;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appréciation différente d’une situation demeurée inchangée pour l’essentiel ne constitue pas un motif de révision (cf.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 130 V 343 consid. 3.5.2).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5. Dans le cas d’espèce, il convient de se pencher sur les circonstances (médicales ou économiques) liées à la personne de l’assuré et d’examiner si elles se sont modifiées entre la décision du 10 octobre 2013 et la décision attaquée du 20 septembre 2017 au point d’influencer le degré d’invalidité du recourant. a) aa) En premier lieu, il sied de constater que les nouvelles atteintes que sont le diabète de type II et la sténose de l’urètre (cf. notamment demande de prestations du 3 octobre 2016 ainsi que les rapports du Dr Z.________ et du Dr G.________ datés respectivement du 30 janvier 2017 et du 2 mars 2017) ne sont selon toute vraisemblance pas incapacitantes, en l’absence de rapport médical allant dans ce sens. bb) Le rapport du Dr Z.________ du 30 janvier 2017 mentionne les diagnostics de lombo-pygialgies chroniques, de gonalgies gauches dans le cadre de troubles dégénératifs, d’un déconditionnement musculaire et d’un diabète de type II. Tout en précisant, dans son précédent rapport du 28 mars 2013, n’avoir vu l’assuré qu’une seule fois en date du 19 juin 2008, le Dr Z.________ diagnostiquait alors des lombalgies chroniques avec sciatalgies gauches intermittentes dans des discopathies L4-L5, L5-S1 avec une hernie discale L5-S1 paramédiane gauche ainsi qu’un déconditionnement physique. Sous réserve des gonalgies gauches et du diabète de type II, ces diagnostics sont quasiment superposables à ceux posés en 2017. Les gonalgies gauches sont l’expression des plaintes de l’assuré (cf. rapport médical du 30 janvier 2017, ch. 1.4). Dans le cadre de l’examen clinique, le Dr Z.________ ne relève rien de particulier à leur propos et le status neurologique des membres inférieurs est dans la norme. Dans son rapport du 8 juin 2017, il fait d’ailleurs mention d’un soulagement des gonalgies ensuite de l’introduction d’un traitement médicamenteux (Condrosulf) et observe qu’il y a peu de changement pour le surplus s’agissant de la symptomatologie douloureuse lombaire par rapport à la situation de janvier 2017. Quant à la hernie discale, le Dr Z.________ ne la cite plus expressément en tant que diagnostic dans son rapport du 30 janvier 2017. On peut supposer qu’elle doit être comprise dans la mention des troubles dégénératifs et, dans le cadre de son examen clinique, le Dr Z.________ ne donne aucune indication particulière en relation avec cette hernie de telle sorte que l’on doit en déduire que celle-ci n’a pas évolué depuis 2008 (cf. CT scan lombaire du 7 janvier 2008) au point d’influencer l’état de santé de l’assuré. S’agissant des cervicalgies (cf. rapport du Dr G.________ du 18 mars 2016), l’examen clinique du 4 janvier 2017 ne révèle rien de particulier. Par ailleurs, il ressort des dires de l’assuré lui-même que le bilan radiologique est rassurant, ce qui laisse supposer qu’aucune péjoration des atteintes à la colonne vertébrale n’a été objectivée. Enfin, il ressort des deux rapports du Dr Z.________ des 30 janvier et 8 juin 2017 que moyennant un reconditionnement musculaire, son patient pourrait travailler dans une activité adaptée et légère, avec des ports de charges limités à 5-10 kg. b) A lire l’annexe au rapport médical du Dr G.________ du 2 mars 2017, l’assuré ne pourrait travailler que dans une position assise et sans port de charges supérieures à 5 kg. Il précise, s’agissant de l’activité sédentaire, que son patient présente des douleurs au dos après 3 heures. Il relaie ainsi les plaintes de son patient sans se prononcer sur l’objectivité de cette allégation en lien avec les atteintes diagnostiquées. Ce médecin fait également mention d’une capacité d’adaptation et d’une résistance limitées, sans cependant en préciser le genre. En fin de compte, dans son dernier certificat médical du 9 février 2018, le Dr G.________ atteste de la nécessité de mesures de réadaptation en vue d’un travail adapté avec port de charges limité à 5 kg. Il peut en être déduit que pour le médecin traitant, une capacité de travail dans une activité adaptée est finalement envisageable. Ni ce médecin, ni aucun autre médecin ne fait mention d’une quelconque diminution de rendement dans une activité adaptée de telle sorte que le grief formulé dans le recours s’agissant de l’absence de prise en compte par l’office AI d’une diminution de rendement ne saurait être retenu. Les limitations fonctionnelles résultant des atteintes du rachis ne se sont pas sensiblement modifiées entre 2013 et 2016, contrairement à ce que soutient le recourant. Le Dr Z.________ envisage des ports de charges jusqu’à 10 kg (cf. rapport du 8 juin 2017). Même dans l’hypothèse où le port de charges devait effectivement être limité à 5 kg, il n’affecterait pas la capacité de travail, laquelle demeure à 100%, nonobstant les certificats d’incapacité de travail délivrés par le médecin traitant (cf. notamment les certificats du Dr G.________ des 22 février 2016, 18 mars 2016 et 30 septembre 2017), lesquels doivent être appréciés avec la réserve usuelle (cf. ATF 125 V 351 consid. 3b/cc). Quoi qu’il en soit, le marché du travail offre un choix suffisamment diversifié et vaste d’activités simples et répétitives compatibles avec les limitations fonctionnelles du recourant. c) L’analyse du dossier médical dans son ensemble permet d’admettre que l’état de santé du recourant est resté globalement stable entre 2013 et 2017, en l’absence d’une modification des circonstances propres à justifier une aggravation de l'invalidité. 6. Le recourant sollicite l’octroi de mesures de réadaptation professionnelle.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Ainsi,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(Michel Valterio, Droit de l’assurance-vieillesse et survivants [AVS] et de l’assurance-invalidité [AI], Genève/Zurich/Bâle 2011, p. 532 n° 2016 et les références citées).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les références citées).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c) En l’espèce, le degré d’incapacité de gain (5%) est largement inférieur au degré d’environ 20% retenu par la jurisprudence. Au demeurant le revenu tiré des activités professionnelles antérieures aux atteintes à la santé s’avère inférieur (cf. extrait du compte individuel AVS du 26 janvier 2017) au revenu statistique tiré de l’Enquête suisse sur la structure des salaires en matière d’activités simples et répétitives, lesquelles sont accessibles à l’assuré (cf. décision du 10 octobre 2013). Par ailleurs, il convient d’admettre que le marché du travail offre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On relèvera pour finir que, dans son rapport du 30 janvier 2017, le Dr Z.________ observe que l’assuré présente des rachialgies chroniques dans le contexte d’un déconditionnement global mais aussi certainement social. Il émet en conséquence un pronostic réservé, dépendant beaucoup de l’investissement de l’assuré. Il ressort par ailleurs de son dernier rapport du 8 juin 2017 que le réentraînement musculaire n’est plus poursuivi. Il sied ici de souligner que, dans le domaine de l’assurance-invalidité, on applique de manière générale le principe selon lequel un invalide doit, avant de requérir des prestations, entreprendre tout ce qu’on peut raisonnablement attendre de lui, pour atténuer le mieux possible les conséquences de son invalidité. L’obligation de diminuer le dommage s’applique aux aspects de la vie les plus variés (cf. TF 9C_661/2016 du 19 avril 2017 consid. 2.3 et les références). Ceci rappelé, il incombe en premier lieu à l’assuré de se conformer aux mesures thérapeutiques qui lui sont recommandées par le corps médical. Quant aux facteurs sociaux susceptibles d’entraver l’accessibilité au marché du travail, ils ne relèvent pas de l’assurance-invalidité. En effet,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(ATF 127 V 294 consid. 5a ; TF 9C_286/2015 du 12 janvier 2016 consid. 4.2 et les références). 7. En définitive, en déniant le droit du recourant aux prestations de l’assurance-invalidité (rente et mesures d’ordre professionnel) motif pris que son degré d’invalidité n’avait pas changé depuis la décision du 10 octobre 2013, la décision attaquée échappe à la critique. Il s’ensuit que le recours, mal fondé, doit être rejeté, ce qui entraîne la confirmation de la décision du 20 septembre 2017. 8. a)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de les arrêter à 400 fr. et de les mettre à la charge du recourant, qui succombe (art. 49 al. 1 LPA-VD, applicable par renvoi des art. 91 et 99 LPA-VD). Toutefois, dès lors que ce dernier a été mis au bénéfice de l’assistance judiciaire, ces frais sont laissés provisoirement à la charge de l’Etat. b) Il n’y a pas lieu d’allouer de dépens, le recourant n’obtenant pas gain de cause (art. 61 let. g LPGA a contrario ; art. 55 LPA-VD). c) Par décision de la magistrate instructrice du 16 novembre 2017, le recourant a été mis au bénéfice de l’assistance judiciaire et obtenu à ce titre la commission d’un avocat d’office en la personne de Me François Gillard. Celui-ci a produit sa liste des opérations le 26 avril 2018, laquelle rentre globalement dans le cadre de l’accomplissement du mandat confié. Partant, il convient de retenir 7 heures et 20 minutes de prestations d’avocat rémunérées à un tarif horaire de 180 fr. (cf. art. 2 al. 1 let. a RAJ [règlement cantonal vaudois du 7 décembre 2010 sur l’assistance judiciaire en matière civile ; RSV 211.02.3]), ce qui correspond à un montant total d’honoraires s’élevant à 1'320 fr. auquel il y a lieu d’ajouter 36 fr. 20 de débours. A ces montants, il convient d’ajouter la TVA. Dès lors que Me Gillard ne précise pas quelles opérations ont été effectuées jusqu’au 31 décembre 2017 – date jusqu’à laquelle le taux de TVA était de 8% – ou dès le 1 er janvier 2018 – date à compter de laquelle ce taux est de 7,7% –, c’est le taux unique de 8% tel que retenu par le conseil d’office que l’on appliquera dans le cas d’espèce. L’indemnité totale sera donc arrêtée à 1'464 fr. 70. d) Le recourant est rendu attentif au fait qu’il est tenu de rembourser le montant pris en charge par le canton dès qu’il sera en mesure de le faire (art. 123 al. 1 CPC [code fédéral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