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581 vom 6. September 2018</w:t>
      </w:r>
    </w:p>
    <w:p>
      <w:r>
        <w:t>VD Tribunal cantonal, 2018-09-06, FR</w:t>
      </w:r>
    </w:p>
    <w:p>
      <w:r>
        <w:rPr>
          <w:b/>
        </w:rPr>
        <w:t xml:space="preserve">Quelle: </w:t>
      </w:r>
      <w:r>
        <w:t>https://mcp.opencaselaw.ch/entscheid/vd_findinfo_Arr_t___2018___581</w:t>
      </w:r>
    </w:p>
    <w:p>
      <w:r>
        <w:t>FR: VD_FINDINFO Arrêt / 2018 / 581 du 6 septembre 2018</w:t>
      </w:r>
    </w:p>
    <w:p>
      <w:r>
        <w:t>IT: VD_FINDINFO Arrêt / 2018 / 581 del 6 settembre 2018</w:t>
      </w:r>
    </w:p>
    <w:p>
      <w:pPr>
        <w:pStyle w:val="Heading2"/>
      </w:pPr>
      <w:r>
        <w:t>Regeste</w:t>
      </w:r>
    </w:p>
    <w:p>
      <w:r>
        <w:t>RECONSIDÉRATION, RENTE D'INVALIDITÉ, SURVENANCE DU CAS D'ASSURANCE, PÉRIODE DE COTISATION À L'ÉTRANGER, ANNÉE DE COTISATION | 28 LAI, 36 al. 1 LAI, 4 LAI, 16 LPGA, 53 LPGA, 6 LPGA, 7 LPGA, 8 LPGA, 25 al. 1 RAI</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58 al. 1 LPGA et art. 69 al. 1 let. a LAI).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w:t>
      </w:r>
    </w:p>
    <w:p>
      <w:r>
        <w:rPr>
          <w:b/>
        </w:rPr>
        <w:t>E. 2</w:t>
      </w:r>
    </w:p>
    <w:p>
      <w:r>
        <w:t>En l’occurrence, le litige porte sur le droit du recourant à ce que l’intimé revienne sur sa décision du 24 mars 2014 en lui octroyant des prestations, en particulier une rente.</w:t>
      </w:r>
    </w:p>
    <w:p>
      <w:r>
        <w:rPr>
          <w:b/>
        </w:rPr>
        <w:t>E. 3</w:t>
      </w:r>
    </w:p>
    <w:p>
      <w:r>
        <w:t>a) Conformément à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et si, au terme de cette année, il est invalide (art. 8 LPGA) à 40 % au moins. La rente prévue dans le système de l’assurance-invalidité est échelonnée selon le taux d’invalidité. Ainsi, un taux d’invalidité de 40 % au moins donne droit à un quart de rente, un taux d’invalidité de 50 % au moins donne droit à une demi-rente, un taux d’invalidité de 60 % au moins donne droit à un trois-quarts de rente et un taux d’invalidité de 70 % au moins donne droit à une rente entière (art. 28 al. 2 LAI).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(art. 7 al. 2 LPGA). L’évaluation de l’incapacité de gain se fait selon les méthodes indiquées à l’art. 28a LAI (ATF 121 V 264 consid. 6b/cc ; Michel Valterio, Droit de l’assurance-vieillesse et survivants [AVS] et de l’assurance-invalidité [AI], Genève/Zurich/Bâle 2011, n° 2033 p. 538). Ainsi, pour évaluer le taux d’invalidité des assurés exerçant une activité lucrative, le revenu que celui-ci aurait pu obtenir s’il n’était pas invalide est comparé avec celui qu’il pourrait obtenir en exerçant l’activité qui peut raisonnablement être exigée de lui après les traitements et les mesures de réadaptation sur un marché du travail équilibré (art. 16 LPGA ; applicable par renvoi de l’art. 28a al. 1 LAI). Aux termes de l’art. 25 al. 1 RAI (règlement fédéral du 17 janvier 1961 sur l’assurance-invalidité ; RS 831.201), est réputé revenu au sens de l’art. 16 LPGA le revenu annuel présumable sur lequel les cotisations seraient perçues en vertu de la LAVS (loi fédérale du 20 décembre 1946 sur l’assurance-vieillesse et survivants ; RS 831.10), à l’exclusion toutefois et notamment des indemnités de chômage (let. c), ou encore des éléments de salaire dont il est prouvé que l’assuré ne peut fournir la contrepartie, parce que sa capacité de travail limitée ne le lui permet pas (let.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Les conséquences financières négatives d’une telle perte de l’aptitude à accomplir le travail raisonnablement exigible sont dénuées de pertinence pour l’évaluation de l’incapacité de travail pendant le délai d’attente de l’art. 28 al. 1 let. b LAI. Ainsi, par exemple, la perception d’indemnités de chômage ou d’un salaire social au sens de l’art. 25 al. 1 RAI n’empêche pas ce délai d’attente d’une année de commencer à courir (ATF 105 V 156 consid. 2a ; 97 V 226 consid. 2 ; Ulrich Meyer/Marco Reichmuth, Bundesgesetz über die Invalidenversicherung [IVG], 3 e éd., Zurich/Bâle/Genève 2014, n° 26 ad art. 28 et réf. cit. ; Valterio, op. cit., n° 2030 p. 537). b) En principe, il n'y a pas lieu de revenir sur les décisions entrées en force, essentiellement pour des raisons d'égalité de traitement entre assurés et de sécurité du droit, notamment pour éviter de pouvoir remettre perpétuellement en cause des décisions rendues. Cependant, en vertu de l’art. 17 al. 1 LPGA, si le taux d’invalidité du bénéficiaire de la rente subit une modification notable, la rente est, d’office ou sur demande, révisée pour l’avenir, à savoir augmentée ou réduite en conséquence, ou encore supprimée (révision de la rente d’invalidité). L’art. 53 al. 1 LPGA prévoit par ailleurs que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En outre, l’art. 53 al. 2 LPGA consacre la possibilité pour l’assureur de revenir sur les décisions ou les décisions sur opposition formellement passées en force lorsqu’elles sont manifestement erronées et que leur rectification revêt une importance notable (reconsidération). En application de cette dernière disposition (art. 53 al. 2 LPGA),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et réf. cit.). Par le biais de la reconsidération, on corrigera une application initiale erronée du droit, de même qu'une constatation erronée résultant de l'appréciation des faits ; un changement de pratique ou de jurisprudence ne saurait en principe justifier une reconsidération (ATF 135 V 215 consid. 5 ; 119 V 410 consid. 3a ; 117 V 8 consid. 2c).</w:t>
      </w:r>
    </w:p>
    <w:p>
      <w:r>
        <w:rPr>
          <w:b/>
        </w:rPr>
        <w:t>E. 4</w:t>
      </w:r>
    </w:p>
    <w:p>
      <w:r>
        <w:t>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a) En l’espèce, le recourant requiert que l’intimé revienne sur sa décision du 24 mars 2014, en lui allouant une demi-rente. Si l’intimé a qualifié la décision querellée du 3 janvier 2017 de « refus de reconsidération », le recourant réclame en définitive, dans le cadre de la procédure de recours, la modification de la décision initiale par le biais alternativement d’une reconsidération (art. 53 al. 2 LPGA), d’une révision procédurale (art. 53 al. 1 LPGA) ou encore d’une révision de la rente d’invalidité (art. 17 al. 1 LPGA). Il est désormais constant que l’intéressé présente une diminution de rendement de 50 % dans sa profession d’éducateur et que des mesures d’ordre professionnel ne sont pas envisageables pour diminuer le préjudice économique en découlant. Il ressort par ailleurs du rapport final du 2 juin 2015 de l’intimé que cette activité d’éducateur doit être considérée comme adaptée. Dans sa décision initiale du 24 mars 2014, l’intimé, se fondant sur le rapport du Dr B.________, médecin au SMR, avait alors considéré que le recourant présentait une pleine capacité de travail. La question se pose ainsi d’emblée de savoir si cette décision était justifiée ou si l’intimé aurait dû constater une diminution de rendement déjà au terme de la procédure ayant mené à la décision initiale. b) Or, il ressort précisément des réponses données le 28 octobre 2013 par A.________, ancien employeur, que l’intéressé présentait déjà une diminution de rendement durant son emploi. En effet, le recourant avait été licencié au motif qu’il n’était pas en mesure de remplir le cahier des charges de son poste de travail, cela en dépit de nombreux avertissements et offres d’appui qui lui avaient été adressés. Selon l’employeur, l’intéressé était limité physiquement dans une mesure importante et était trop handicapé pour exercer des activités physiques. Le salaire versé ne correspondait ainsi pas à la prestation fournie. De son côté, le Dr V.________ avait également indiqué que le recourant présentait des limitations fonctionnelles, soit notamment une impossibilité à exécuter des tâches requérant de la dextérité manuelle fine. Ce médecin attestait ainsi une incapacité de travail de 70 % et suggérait un emploi dans un atelier protégé (cf. rapports des 29 octobre 2013 et 28 janvier 2014). Compte tenu de ce qui précède, il est difficilement compréhensible que le Dr B.________ ait considéré – sur la base du dossier et sans examen du recourant – que ce dernier présentait une pleine capacité de travail dans l’activité d’éducateur, arguant à cet égard qu’il avait pu acquérir une formation relativement bien adaptée à son handicap, qu’il l’avait exercée pendant des années avec des revenus correspondants et qu’il était inscrit au chômage pour un taux de 100 % (cf. rapport du 3 février 2014). La perception d’indemnités de chômage ou d’un salaire social – comme en l’espèce compte tenu des déclarations de l’ancien employeur – est dénuée de pertinence pour l’évaluation de l’incapacité d e travail (cf. consid. 3a in fine supra ). La position du médecin du SMR est d’autant plus incompréhensible qu’il constatait, à juste titre, qu’une certaine limitation du rendement découlant des limitations fonctionnelles pourrait être plausible – compte tenu du cahier des charges du poste –, mais retenait néanmoins in fine qu’« aucune diminution de rendement n’[était] mentionnée ou chiffrée » et que « jusqu’à preuve du contraire la capacité de travail dans une activité parfaitement adaptée [était] entière ». Il est vrai que le recourant lui-même n’avait pas décrit, lors de son entretien avec une collaboratrice du service de réinsertion professionnelle de l’intimé (cf. rapport initial du 21 janvier 2014), de limitation de rendement particulière et qu’il avait essentiellement mentionné des limitations pour effectuer des mouvements fins, par exemple lacer des chaussures ou fermer des boutons, évoquant plutôt un problème de mobbing comme cause de son licenciement. Toutefois, la contradiction avec les renseignements communiqués aussi bien par l’ancien employeur du recourant que par son médecin traitant était telle qu’il était manifestement erroné de constater, sans autres mesures d’instruction d’office, que « jusqu’à preuve du contraire », la capacité de travail était entière dans l’activité habituelle. Au vu de ce qui précède, l’intimé ne pouvait statuer sans compléter l’instruction soit par des examens médicaux, soit par l’interrogatoire d’autres anciens employeurs de l’intéressé, soit par une mesure d’observation professionnelle. Une telle mesure a finalement été effectuée du 11 novembre 2014 au 10 février 2015 auprès de Z.________. Or, il en est précisément ressorti que le recourant présentait une diminution de rendement de 50 % dans son activité habituelle d’éducateur. L’intimé aurait dû arriver à ce constat en menant correctement l’instruction ensuite de la première demande de prestations de l’intéressé du 27 septembre 2013. La décision initiale de l’intimée du 24 mars 2014 était dès lors manifestement erronée en ce qu’elle portait sur le taux d’invalidité du recourant. A toutes fins utiles, il convient de relever que ce constat est confirmé par la teneur du rapport intermédiaire d’un collaborateur de l’intimé du 14 mai 2014. En effet, ce collaborateur y a considéré que, selon l’ancien employeur du recourant, ce dernier n’avait pas pu remplir complètement le cahier des charges et qu’il était trop fortement handicapé pour assumer l’entier des tâches. Il a également précisé que le rapport du SMR du 3 février 2014 laissait notamment apparaître la probabilité d’une diminution de rendement et de limitations pour l’accomplissement de certaines tâches. Au terme de son rapport, le collaborateur est arrivé à la conclusion qu’il se justifiait de faire débuter un stage au recourant afin de déterminer ce qui pouvait être attendu de sa part et le salaire envisageable. A cet égard, il est constaté que les seuls éléments survenus entre la décision du 24 mars 2014 et le rapport intermédiaire du 14 mai 2014 consistaient en un entretien avec l’intéressé du 7 mai 2014, lequel ne saurait être déterminant, et un entretien téléphonique avec A.________ du 13 mai 2014, effectué vraisemblablement à l’initiative de l’intimé. Or, si l’intimé estimait que le dossier méritait des clarifications de la part de l’ancien employeur, il lui appartenait d’y procéder avant de rendre la décision initiale.</w:t>
      </w:r>
    </w:p>
    <w:p>
      <w:r>
        <w:rPr>
          <w:b/>
        </w:rPr>
        <w:t>E. 6</w:t>
      </w:r>
    </w:p>
    <w:p>
      <w:r>
        <w:t>a) Cela étant, ce qui précède ne signifie pas encore que la décision initiale était erronée dans son résultat, soit en ce qu’elle rejetait la demande de rente du recourant. L’intimé soutient en effet que les conditions générales du droit à une rente AI n’étaient pas remplies, de sorte qu’une rente ne saurait de toute manière être accordée. L’intéressé contestant cette position, il convient de déterminer s’il satisfait à ces conditions générales. b) Lesdites conditions générales prévoient notamment qu’a droit à une rente ordinaire l’assuré qui, lors de la survenance de l’invalidité, compte trois années au moins de cotisations (art. 36 al. 1 LAI), dont en tous les cas une année en Suisse lorsque – comme en l’espèce – la personne intéressée a été assujettie à la législation de deux ou plusieurs Etats membre de l’Union européenne (art. 6, 46 par. 1 et 57 par. 1 du règlement (CE) n° 883/2004 du Parlement européen et du Conseil du 29 avril 2004 portant sur la coordination des systèmes de sécurité sociale [RS 0.831.109.268.1] ; TAF C-1301/2013 du 18 septembre 2014 consid. 6 ; cf. Valterio, op. cit., n° 2220 p. 599 s.)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2b ; TF 9C_953/2011 du 25 octobre 2012 consid. 6.1). S’agissant du droit à une rente, la survenance de l’invalidité se détermine à l’aune à l’art. 28 al. 1 LAI et se situe ainsi au plus tôt à la date dès laquelle l’assuré a présenté, en moyenne, une incapacité de travail (cf. art. 6 LPGA) d’au moins 40 % pendant une année sans interruption notable (art. 28 al. 1 let. b LAI) et a, au terme de cette année, été invalide (cf. art. 8 LPGA) à 40 % au moins (art. 28 al. 1 let. c LAI ; cf. TF 9C_230/2012 du 5 septembre 2012 consid. 1.2 ; cf. TF 9C_953/2011 du 25 octobre 2012 consid. 6.2 ; sur les notions d’incapacité de travail et d’invalidité, il est renvoyé au consid. 3b supra ). c/aa) En l’espèce, il y a lieu de déterminer la survenance de l’invalidité du recourant, soit en particulier la survenance de la diminution de rendement de 50 %. bb) Comme retenu ci-dessus, il est constant, au vu des renseignements communiqués par A.________ ainsi que par le Dr V.________, que l’intéressé présentait une baisse de rendement à son arrivée en Suisse. Il est d’ailleurs relevé que le Dr V.________ avait indiqué que la situation du recourant était stationnaire depuis 1989, sauf à préciser que plusieurs opérations pratiquées dans les années 1990 avaient permis la récupération de certaines fonctions des avant-bras. L’intéressé évoque certes des douleurs et tressaillements dans les membres supérieurs qui seraient apparus lors d’un stage à l’EMS de J.________ à S.________, ainsi que des troubles psychiques qui dateraient d’un épisode de mobbing lors de sa dernière activité professionnelle. Il ressort toutefois du rapport final d’entraînement au travail de Z.________ du 26 janvier 2015 que les atteintes invoquées par le recourant n’étaient pas la cause principale de la diminution de rendement de 50 % constatée dans son activité professionnelle. Cette diminution découlait en effet essentiellement de l’amputation des deux mains et d’une partie des avant-bras, ce qui avait d’ailleurs conduit l’intéressé à déposer sa première demande de prestations le 27 septembre 2013. Cette amputation laissait certes la possibilité au recourant d’encadrer un groupe de résidents dans un EMS, mais rendait cependant nécessaire une aide pour une grande partie des activités manuelles, justifiant ainsi la diminution de rendement constatée. Dans le rapport de Z.________ du 26 janvier 2015, il n’est aucunement fait référence à une diminution de rendement qui pourrait découler de douleurs et tressaillements dans les membres supérieurs, ou encore de troubles psychiques. A toutes fins utiles, il est relevé que le manque d’empathie du recourant dans le cadre des activités d’accompagnement et ses difficultés à se remettre en question, tels qu’évoqués dans le rapport de Z.________, ne sauraient aucunement constituer des indices d’une atteinte susceptible d’entraver la capacité de travail et de gain de l’intéressé (cf. ATF 129 V 411 consid. 2.3) et partant fonder des prestations de la part de l’intimé. Ainsi, force est de constater que la diminution de rendement de 50 % du recourant découle directement de l’amputation – survenue en 1989 – de ses deux mains et d’une partie de ses avant-bras. Elle était dès lors déjà présente à ce taux avant son arrivée en Suisse. A cet égard, le rapport de la Dresse Y.________ du 21 septembre 2017, produit par le recourant dans le cadre de la présente procédure, ne saurait jeter un doute sur le constat qui précède. Si ce médecin y a en effet attesté des douleurs dans les deux avant-bras, à prédominance côté gauche, et des contractions musculaires involontaires surtout nocturnes, il apparaît cependant qu’elle n’a fait que rapporter, pour l’essentiel, les plaintes du recourant, sans y apporter plus d’explications. Elle ne s’est en outre aucunement prononcée sur l’existence et le taux d’une éventuelle incapacité de travail qui découlerait des atteintes décrites. cc) Le recourant présentant dès lors une diminution de rendement, soit une incapacité de travail au sens de l’art. 6 LPGA, de 50 % avant son arrivée en Suisse, le délai de carence d’une année de l’art. 28 al. 1 let. b LAI a ainsi commencé à courir également avant l’entrée de l’intéressé en Suisse. Le revenu avec invalidité pouvant raisonnablement être exigé de lui, et dès lors sa capacité de gain réelle au sens de l’art. 8 al. 1 LAPG, étaient en outre diminués d’autant dès la survenance de cette baisse de rendement (cf. art. 16 LPGA applicable par renvoi de l’art. 28a al. 1 LAI). Partant, le droit du recourant à une rente au sens de l’art. 28 al. 1 LAI était ouvert déjà avant son arrivée en Suisse. Contrairement à ce que soutient l’intéressé, le fait que A.________ ait accepté de l’engager à 80 %, puis de le garder à son service pendant plusieurs années à ce taux en lui versant un salaire correspondant au taux d’activité mais non à la prestation fournie, avant de se résoudre à le licencier en raison d’une insuffisance de rendement présente en dépit de nombreux avertissement et offres d’appui, n’a aucune influence sur l’apparition d’une incapacité de travail et de gain et, ainsi, sur l’ouverture du droit à une rente (cf. consid. 3a supra ). En application de l’art. 4 al. 2 LAI, l’invalidité du recourant est dès lors survenue avant que celui-ci ne soit présent en Suisse, l’empêchant ainsi de pouvoir se prévaloir d’une année de cotisations en Suisse au sens du règlement (CE) n° 883/2004 du Parlement européen et du Conseil du 29 avril 2004 portant sur la coordination des systèmes de sécurité sociale (cf. consid. 6b supra ). C’est ainsi à juste titre que l’intimé a nié à l’intéressé tout droit à une rente ordinaire d’invalidité.</w:t>
      </w:r>
    </w:p>
    <w:p>
      <w:r>
        <w:rPr>
          <w:b/>
        </w:rPr>
        <w:t>E. 7</w:t>
      </w:r>
    </w:p>
    <w:p>
      <w:r>
        <w:t>A toutes fins utiles, il est relevé que l’intimé a par ailleurs exclu le droit du recourant à une rente extraordinaire d’invalidité, ce que l’intéressé ne conteste pas, à juste titre. En l’absence de grief à cet égard, il n’y a pas lieu de revenir plus avant sur ce point.</w:t>
      </w:r>
    </w:p>
    <w:p>
      <w:r>
        <w:rPr>
          <w:b/>
        </w:rPr>
        <w:t>E. 8</w:t>
      </w:r>
    </w:p>
    <w:p>
      <w:r>
        <w:t>a) En conclusion,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francs (art. 69 al. 1bis LAI). En l’espèce, compte tenu de l’ampleur de la procédure, les frais de justice sont arrêtés à 400 fr. et devraient être mis à la charge du recourant, qui succombe (art. 49 al. 1 ; 91 et 99 LPA-VD). Toutefois, dès lors qu’il est exonéré des frais judiciaire au titre de l’assistance judiciaire, ces frais sont laissés provisoirement à la charge de l’Etat (art. 122 al. 1 let. b CPC [code de procédure civile du 19 décembre 2008 ; RS 272] ; art. 18 al. 5 LPA-VD). Le recourant est cependant rendue attentif au fait qu’il est tenu de rembourser, dès qu’il est en mesure de le faire, les frais de justice mis à la charge de l’Etat (art. 123 al. 1 CPC ; art. 18 al. 5 LPA-VD). En outre, n’obtenant pas gain de cause, l’intéressé ne peut pas prétendre à l’allocation de dépens en sa faveur (art. 61 let. g LPGA ;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