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542 vom 6. August 2018</w:t>
      </w:r>
    </w:p>
    <w:p>
      <w:r>
        <w:t>VD Tribunal cantonal, 2018-08-06, FR</w:t>
      </w:r>
    </w:p>
    <w:p>
      <w:r>
        <w:rPr>
          <w:b/>
        </w:rPr>
        <w:t xml:space="preserve">Quelle: </w:t>
      </w:r>
      <w:r>
        <w:t>https://mcp.opencaselaw.ch/entscheid/vd_findinfo_Arr_t___2018___542</w:t>
      </w:r>
    </w:p>
    <w:p>
      <w:r>
        <w:t>FR: VD_FINDINFO Arrêt / 2018 / 542 du 6 août 2018</w:t>
      </w:r>
    </w:p>
    <w:p>
      <w:r>
        <w:t>IT: VD_FINDINFO Arrêt / 2018 / 542 del 6 agosto 2018</w:t>
      </w:r>
    </w:p>
    <w:p>
      <w:pPr>
        <w:pStyle w:val="Heading2"/>
      </w:pPr>
      <w:r>
        <w:t>Regeste</w:t>
      </w:r>
    </w:p>
    <w:p>
      <w:r>
        <w:t>SALAIRE DÉTERMINANT, DÉCISION DE COTISATIONS, INDEMNITÉ DE DÉPART | 7 RAVS</w:t>
      </w:r>
    </w:p>
    <w:p>
      <w:pPr>
        <w:pStyle w:val="Heading2"/>
      </w:pPr>
      <w:r>
        <w:t>Erwägungen</w:t>
      </w:r>
    </w:p>
    <w:p>
      <w:r>
        <w:rPr>
          <w:b/>
        </w:rPr>
        <w:t>E. 1</w:t>
      </w:r>
    </w:p>
    <w:p>
      <w:r>
        <w:t>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Cependant, en dérogation à cette disposition, les décisions et décisions sur opposition prises par les caisses cantonales de compensation peuvent faire l’objet d’un recours devant le tribunal des assurances du canton où la caisse de compensation a son siège (art. 84 LAVS). Le recours doit par ailleurs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Le recours a été déposé en temps utile devant le tribunal compétent. Il respecte par ailleurs les autres conditions de forme prévues par la loi (art. 61 let. b LPGA notamment), de sorte qu’il est recevable. La valeur litigieuse constituée des cotisations dues sur une indemnité de 40'000 fr. est inférieure à 30'000 francs. Dès, lors, la présente cause relève de la compétence du juge instructeur de la Cour des assurances sociales statuant en qualité de juge unique (art. 94 al. 1 let. a LPA-VD).</w:t>
      </w:r>
    </w:p>
    <w:p>
      <w:r>
        <w:rPr>
          <w:b/>
        </w:rPr>
        <w:t>E. 2</w:t>
      </w:r>
    </w:p>
    <w:p>
      <w:r>
        <w:t>Est litigieuse en l’espèce la qualification de l’indemnité de 40'000 fr. allouée à C.________ en vertu de la convention conclue suite à la résiliation des rapports de travail. Singulièrement, il s’agit de déterminer si cette indemnité est sujette ou non à la perception de cotisations sociales.</w:t>
      </w:r>
    </w:p>
    <w:p>
      <w:r>
        <w:rPr>
          <w:b/>
        </w:rPr>
        <w:t>E. 3</w:t>
      </w:r>
    </w:p>
    <w:p>
      <w:r>
        <w:t>a) Au sens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6 al. 1 RAVS (règlement du 31 octobre 1947 sur l’assurance-vieillesse et survivants ; RS 831.101) précise que le revenu provenant d’une activité lucrative comprend, sous réserve des exceptions mentionnées expressément dans les dispositions qui suivent, le revenu en espèce ou en nature tiré en Suisse ou à l’étranger de l’exercice d’une activité, y compris les revenus accessoires. L’art. 7 RAVS énumère de manière non exhaustive une série d’éléments répondant à la notion de salaire déterminant. L’art. 7 let. q RAVS mentionne notamment les prestations versées par l’employeur lors de la cessation des rapports de travail, si elles ne sont pas exceptées du salaire déterminant en vertu des art. 8 bis ou 8 ter . Ces dispositions prévoient en effet que sont exceptées du salaire déterminant les prestations sociales versées par l’employeur en cas de prévoyance professionnelle insuffisante (art.</w:t>
      </w:r>
    </w:p>
    <w:p>
      <w:r>
        <w:rPr>
          <w:b/>
        </w:rPr>
        <w:t>E. 8</w:t>
      </w:r>
    </w:p>
    <w:p>
      <w:r>
        <w:t>bis RAVS) et les prestations sociales versées par l’employeur lors de la résiliation des rapports de travail pour des impératifs d’exploitation (art. 8 ter RAVS). b) Font en définitive partie du salaire déterminant toutes les sommes touchées par le salarié si leur versement est économiquement lié au contrat de travail ; peu importe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133 V 153 consid. 3.1 et les références citées). Selon cette définition, entrent donc également dans le salaire déterminant tous les revenus liés à des rapports de travail ou de service qui n’auraient pas été perçus sans ses rapports (ATF 131 V 444 consid. 1.1). Eu égard à l’art. 7 let. q RAVS, l’élément déterminant pour la prise en compte des prestations versées par l’employeur lors de la cessation des rapports de travail est la relation directe ou indirecte, mais étroite entre les créances de l’employé et les rapports de service (VSI 1997 p. 22 consid. 3). Font notamment partie du salaire déterminant les rétributions versées au salarié en cas de résiliation anticipée des rapports de service. En revanche, les indemnités pour résiliation abusive (art. 336a CO [Code des obligations du 30 mars 1911 ; RS 220]) et pour résiliation injustifiée (art. 337c al. 3 CO) ne font pas partie du salaire déterminant (ATF 123 V 5 consid. 5 ; Michel Valterio, Droit de l’assurance-vieillesse et survivants [AVS] et de l’assurance-invalidité [AI], Genève/Zurich/Bâle 2011, n. 367, p. 118). Sont ainsi notamment considérées comme des rétributions entrant dans le salaire déterminant des paiements effectués lors du licenciement d’un directeur et de son départ en pré-retraite (VSI 1994 p. 271 consid. 4). Il en va de même d’une indemnité forfaitaire servie au départ d’une employée, suite à la résiliation des rapports de travail par consentement mutuel (TF 8C_338/2017 du 29 janvier 2018 consid. 4.1). 4. L'interprétation d’une convention doit être effectuée selon les règles générales sur l'interprétation des contrats. Il y a lieu de rechercher, tout d'abord, la réelle et commune intention des parties (art. 18 al. 1 CO).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avant de l'examiner dans son contexte ; dans ce dernier cas, toutes les circonstances ayant précédé ou accompagné sa conclusion doivent être prises en considération (cf. par exemple : ATF 140 V 145 consid. 3.3 et les références). 5. En l’espèce, il est incontesté que l’indemnité prévue à l’art. II de la convention conclue entre les parties ne rentre pas dans les exceptions à la perception des cotisations des art. 8 bis et 8 ter RAVS. De même, cette indemnité ne correspond pas davantage à celle prévue à l’art. 337c al. 3 CO des suites d’une résiliation dénuée de justes motifs, ce que les recourantes ne soutiennent d’ailleurs pas. En revanche, les recourantes, ainsi que C.________, considèrent que l’indemnité en question équivaut à une indemnité pour résiliation abusive au sens de l’art. 336a CO, laquelle serait exemptée du paiement des charges sociales conformément à la jurisprudence sur cette question. L’intimée est pour sa part d’avis qu’il s’agit d’une indemnité liée à la résiliation des rapports de travail du fait des recourantes. A ce titre, elle répondrait à la notion de salaire déterminant au sens de l’art. 5 al. 2 LAVS, respectivement de l’art. 7 let. q RAVS, justifiant ainsi le paiement de cotisations sociales. Dans ce contexte, l’argument de l’intimée, selon lequel une indemnité versée en vertu de l’art. 336a CO devrait être fixée par un juge pour être valablement prise en compte est absolument sans pertinence. Ainsi que l’ont relevé à juste titre les recourantes, une telle déduction ne ressort d’aucun texte légal ou réglementaire. Bien plus, à l’instar des recourantes, on peut relever que cette exigence dénuerait de tout intérêt l’opportunité de conclure des transactions extra-judiciaires et reviendrait à imposer systématiquement le recours au juge pour éviter le risque de s’acquitter des charges sociales. Cette argumentation, réitérée par l’intimée, ne peut donc qu’être écartée. 6. Il convient dès lors d’examiner le texte de la convention, ainsi que le contexte de son établissement, pour statuer sur la nature exacte de l’indemnité litigieuse. a) On note en premier lieu qu’en préambule les parties ont expressément exposé que le but de la convention était d’offrir à l’assurée « des conditions de départ améliorées ». L’art. II al. 2 prévoit en outre que le versement de l’indemnité est « strictement lié au fait que les rapports de travail prennent fin ». Par ailleurs, il ressort de cette même disposition que l’indemnité est susceptible de varier, soit d’être diminuée en cas de report du terme des rapports de travail. L’art. III fait enfin mention d’une « indemnité de départ ». Ces éléments plaident incontestablement en faveur d’une indemnité consécutive à la résiliation des rapports de travail, à l’inverse d’une indemnité pour résiliation abusive. On ne voit pas en l’occurrence d’ambigüité dans les termes de la convention qui viendraient faire douter de leur interprétation littérale. En particulier, on peut ajouter qu’une indemnité pour résiliation abusive ne serait en aucun cas conditionnée par la fin des rapports de travail et susceptible de varier quant à son montant au gré du terme effectif du contrat de travail. b) L’examen du contexte dans lequel est intervenue la convention conclue entre les parties ne permet pas davantage de se rallier à la position des recourantes. Quand bien même le courrier adressé par Me Favre aux recourantes le 19 décembre 2016 requiert la protection de la personnalité de C.________ conformément à l’art. 328 CO, il apparaît que ce point n’a pas été discuté plus avant dans les correspondances ultérieures pour le compte de cette dernière. Par ailleurs, ainsi que l’a relevé l’intimée dans sa réponse au recours du 4 décembre 2017, la correspondance de Me Favre du 6 mars 2017 fait mention d’un « rachat en LPP » destiné à réduire les conséquences fiscales du versement de l’indemnité. Enfin, la convention en question s’inscrit dans les suites d’une incapacité de travail attestée en faveur de C.________ dès le 28 février 2017, laquelle aurait été susceptible de prolonger l’échéance du contrat de travail. Ces constats permettent de considérer que la convention passée entre les parties a eu essentiellement pour but de planifier et de fixer des modalités de départ de l’employée. Dès lors, l’indemnité litigieuse se conforme pleinement à cet objectif et doit être qualifiée d’indemnité de départ usuelle. A ce titre, elle correspond aux prestations de l’employeur prévues à l’art. 7 let. q RAVS et doit être qualifiée de salaire déterminant sujet à la perception des charges sociales. 7. Compte tenu des éléments qui précèdent, la décision sur opposition du 6 octobre 2017 doit être confirmée et le recours rejeté. a) Il n'y a pas lieu de percevoir de frais judiciaires, la procédure étant gratuite (art. 45 LPA-VD et 61 let. a LPGA). b) Les recourantes n’obtenant pas gain de cause, elles n’ont pas droit à des dépens (art. 61 let. g LPGA et 55 al. 1 LPA-VD). Par ces motifs, la juge unique prononce : I. Le recours est rejeté. II. La décision sur opposition, rendue le 6 octobre 2017 par la Caisse cantonale vaudoise de compensation est confirmée. III. Il n’est pas perçu de frais judiciaires, ni alloué de dépens. La juge unique :               La greffière : Du L'arrêt qui précède est notifié, par l'envoi de photocopies, à : ‑ Me Olivier Subilia, à Lausanne (pour la Fondation D.________ et la Fondation B.________en liquidation), ‑ Me Christian Favre, à Lausanne (pour C.________), - Caisse cantonale vaudoise de compensation,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