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421 vom 18. Mai 2018</w:t>
      </w:r>
    </w:p>
    <w:p>
      <w:r>
        <w:t>VD Tribunal cantonal, 2018-05-18, FR</w:t>
      </w:r>
    </w:p>
    <w:p>
      <w:r>
        <w:rPr>
          <w:b/>
        </w:rPr>
        <w:t xml:space="preserve">Quelle: </w:t>
      </w:r>
      <w:r>
        <w:t>https://mcp.opencaselaw.ch/entscheid/vd_findinfo_Arr_t___2018___421</w:t>
      </w:r>
    </w:p>
    <w:p>
      <w:r>
        <w:t>FR: VD_FINDINFO Arrêt / 2018 / 421 du 18 mai 2018</w:t>
      </w:r>
    </w:p>
    <w:p>
      <w:r>
        <w:t>IT: VD_FINDINFO Arrêt / 2018 / 421 del 18 maggio 2018</w:t>
      </w:r>
    </w:p>
    <w:p>
      <w:pPr>
        <w:pStyle w:val="Heading2"/>
      </w:pPr>
      <w:r>
        <w:t>Regeste</w:t>
      </w:r>
    </w:p>
    <w:p>
      <w:r>
        <w:t>CURATELLE DE PORTÉE GÉNÉRALE, PLACEMENT À DES FINS D'ASSISTANCE, PROPORTIONNALITÉ, SUBSIDIARITÉ | 390 al. 1 ch. 1 CC, 398 CC, 450 CC</w:t>
      </w:r>
    </w:p>
    <w:p>
      <w:pPr>
        <w:pStyle w:val="Heading2"/>
      </w:pPr>
      <w:r>
        <w:t>Erwägungen</w:t>
      </w:r>
    </w:p>
    <w:p>
      <w:r>
        <w:rPr>
          <w:b/>
        </w:rPr>
        <w:t>E. 1.1</w:t>
      </w:r>
    </w:p>
    <w:p>
      <w:r>
        <w:t>Les recours sont dirigés contre une décision de la justice de paix instituant une curatelle de portée générale à forme de l’art. 398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w:t>
      </w:r>
    </w:p>
    <w:p>
      <w:r>
        <w:rPr>
          <w:b/>
        </w:rPr>
        <w:t>E. 1.3</w:t>
      </w:r>
    </w:p>
    <w:p>
      <w:r>
        <w:t>En l’espèce, interjeté en temps utile par l’intéressé lui-même, le recours d’A.D.________ est recevable. Il en va de même de celui d’B.D.________, parents de la personne concernée, dont la qualité pour recourir est reconnue. La curatrice a renoncé à se déterminer et l’autorité de protection, dûment interpellée, a renoncé à reconsidérer sa décision.</w:t>
      </w:r>
    </w:p>
    <w:p>
      <w:r>
        <w:rPr>
          <w:b/>
        </w:rPr>
        <w:t>E. 1.4</w:t>
      </w:r>
    </w:p>
    <w:p>
      <w:r>
        <w:t>Les pièces produites par le recourant sur interpellation de la chambre de céans, lesquelles ne figuraient pas au dossier de première instance, sont recevables.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En l’espèce, la décision querellée a été prise par la Justice de paix des districts du Jura – Nord vaudois et du Gros-de-Vaud, compétente en tant qu’autorité de protection du domicile de la personne concernée (art. 442 al. 1 CC). Cette autorité a rendu sa décision après que l’intéressé s’est exprimé devant elle, le 18 août 2017, de sorte que le droit d’être entendu de celui-ci a été respecté (art. 447 al. 1 CC). Au surplus, la décision querellée se fonde sur le rapport d’expertise établi le 2 juin 2017 par les Drs R.________ et W.________, tous deux spécialistes en psychiatrie, lesquels répondent aux exigences d’indépendance posées par la jurisprudence (cf. sous l’ancien droit : ATF 137 III 289 consid. 4.4 ; ATF 128 III 12  consid. 4a, JdT 2002 I 474 ; ATF 118 II 249 consid. 2a, JdT 1995 I 51 ; TF 5A_358/2010 du 8 juin 2010, résumé in revue de la protection des mineurs et des adultes [RMA] 2010, p. 456). De toute manière, une éventuelle violation serait guérie puisque les recourants ont pu s’exprimer de manière complète devant la Chambre de céans, qui dispose d’un libre examen en fait et en droit (TF 5A_540/2013 du 3 décembre 2013 consid. 3.1.1). 3. 3.1 3.1.1 Le recourant A.D.________ fait état de son désaccord avec la mesure prononcée, sa situation ayant changé dans l’intervalle, en ce sens qu’il se trouve actuellement en apprentissage d’agent d’exploitation chez [...] pour une durée de trois ans, apprentissage qu’il a trouvé seul et qui le motive, et qu’il serait suivi tout au long de sa formation par le dénommé [...] dans le cadre de l’accompagnement en entreprise AccEnt (ndlr : il s’agit d’une mesure offerte à des jeunes adultes tout au long de leur formation professionnelle, ayant pour objectif le maintien et la réussite de celle-ci par un suivi individualisé) à [...]. Il ajoute avoir de bonnes notes et aimer ce qu’il fait. Il fait valoir que la mesure de curatelle pourrait mettre en échec son apprentissage, car elle le stresse inutilement, qu’il a tout pour bien faire et s’en sortir et que la curatelle lui donne le sentiment d’un retour en arrière. 3.1.2 Les recourants B.D.________ jugent la décision du 18 août 2017 inacceptable du fait de l’évolution favorable et en particulier de l’autonomie grandissante de leur fils depuis le début de son apprentissage. Ils font valoir qu’il suit les cours, gère son argent, ne sort presque pas et qu’ils ont l’habitude de lui prêter leur aide. Leur signalement avait été motivé par le désir de voir A.D.________ trouver du travail. Ils sont contents du changement intervenu depuis 2016 et ne voient plus de raison à la mesure instaurée.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Contrairement à ce que l’on exigeait pour l’art. 369 aCC, la déficience mentale et les troubles psychiques ne doivent pas nécessairement être durables pour qu’une curatelle soit instituée. Cependant, le caractère plus ou moins durable du trouble dont souffre la personne doit être prise en compte par l’autorité de protection lors de sa décision : si les troubles sont de nature très passagère, il se peut que le besoin de protection (condition de la curatelle) fasse défaut (Meier, ibid., n. 725, p. 368). 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 CC ; Meier, Droit de la protection de l’adulte, op. cit., n. 818, p. 405). La personne concernée peut être privée ou non de l'exercice des droits civils (Meier, Droit de la protection de l’adulte, op. cit., p. 402 ;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la protection de l’adulte, n. 833, p.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La loi prévoit ainsi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Droit de la protection de l'adulte, Guide pratique COPMA 2012 [ci-après cité : Guide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d’adulte, op. cit., n. 729, p. 370 ; Guide pratique COPMA 2012, n. 5.10, p. 138). En outre,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 3.2.2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pas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Droit de la protection de l’adulte, op. cit., n. 893, p. 431). Pour qu'une curatelle de portée générale soit instituée, les conditions de l'art. 390 CC doivent être réalisées. Conformément au principe de subsidiarité (art. 389 CC), elle n'est prononcée qu'en dernier recours par l'autorité de protection (Meier, ibid., n. 892, pp. 430-431 ; Henkel, op. cit., n. 10 ad art. 398 CC, p. 2225),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2012, n. 5.52, p. 155 ; Henkel, op. cit., n. 12 ad art. 398 CC, pp. 2225-2226 ; sur le tout : JdT 2013 III 44). 3.2.3 La personne sous curatelle de portée générale est privée, ex lege , de l'exercice des droits civils (art. 398 al. 3 et 17 CC). 3.3 En l’espèce, les arguments de chacun des recourants quant à l’évolution favorable de la personne concernée aux plans professionnel, financier et de son autonomie en général, sont corroborés par les pièces produites par le recourant A.D.________ sur interpellation de la  chambre de céans. L’intéressé est en cours d’apprentissage, qu’il investit ; il n’a pas de dettes et fait valoir que la mesure lui apparaît comme une régression, ce qui est concevable et légitime vu son évolution depuis le signalement de ses parents le 18 juillet 2016. Selon l’expertise psychiatrique du 2 juin 2017 des Drs R.________ et W.________, qui ont posé les diagnostics de trouble mixte de la personnalité avec traits dyssociaux et immatures, dépendance au cannabis, utilisation actuelle, et utilisation d’alcool nocive pour la santé, la pathologie pouvait évoluer de façon variable et une bonne évolution était envisageable si un encadrement adéquat (les experts préconisaient une prise en charge dans un foyer éducatif) était instauré ; à défaut, le trouble de la personnalité pouvait devenir chronique, de même que la consommation d’alcool et de cannabis. Les experts ont alors considéré que l’expertisé avait des difficultés à assurer lui-même la sauvegarde de ses intérêts, tant personnels et sociaux que financiers et professionnels, et ne présentait qu’une capacité de discernement partielle, dont la réduction était accentuée sous alcool, qu’il banalisait sa situation et sabotait son avenir sans s’en rendre compte, qu’il était à la dérive depuis plusieurs années, ses traits immatures étant aggravés par la consommation de substances. Au regard du développement de la personne concernée, l’évolution favorable réservée par les experts apparaît en bonne voie de se concrétiser et il faut admettre, avec les recourants, qu’une mesure de curatelle de portée générale privant A.D.________ de l’exercice des droits civils peut être perçue comme une régression insoutenable au vu des efforts conséquents de redressement entrepris par l’intéressé lui-même. Au demeurant, une mesure si conséquente est peu compatible avec les responsabilités professionnelles endossées par le recourant, même en formation ; par ailleurs, A.D.________ est suivi par AccEnt et le sera durant toute sa formation et trois mois au-delà, mesure qui comprend un suivi de la gestion administrative et financière ainsi qu’un soutien personnel si nécessaire. Aussi, au regard des principes de subsidiarité et de proportionnalité rappelés ci-dessus, une mesure aussi incisive qu’une curatelle de portée générale n’apparaît pas justifiée et l’examen d’une mesure de protection doit être poursuivi au cours de l’enquête à laquelle il ne saurait être mis fin en l’état. Il appartiendra en conséquence à l’autorité de protection d’évaluer dans le courant de la deuxième année d’apprentissage d’A.D.________ (2018-2019), le cas échéant en interpellant l’éducateur [...] sur l’évolution de l’intéressé depuis le début de son suivi, l’opportunité de prononcer une mesure. Enfin l’enquête restant ouverte, l’autorité de protection demeurera compétente pour ordonner si nécessaire si les mesures d’assistance provisoires jugées utiles. 4. En conclusion, les recours sont partiellement admis et la décision querellée est réformée d’office aux chiffres I et II de son dispositif en ce sens qu’il est mis fin à l’enquête en placement à des fins d’assistance et que la poursuite de l’enquête en institution d’une mesure de protection en faveur du recourant est ordonnée. Quant aux chiffres concernant le prononcé de la mesure de curatelle de portée générale, la privation de l’exercice des droits civils, la désignation de la curatrice et les tâches lui incombant (III à VII), ils sont annulés. Sur le vu de ce qui précède, les frais judiciaires de deuxième instance sont laissés à la charge de l’Etat (art. 107 al. 2 CPC). Par ces motifs, la Chambre des curatelles du Tribunal cantonal, statuant à huis clos, prononce : I. Le recours d’A.D.________ est partiellement admis. II. Le recours d’B.D.________ est partiellement admis. III. La décision est réformée d’office comme il suit : I. met fin à l’enquête en placement à des fins d’assistance ouverte en faveur d’A.D.________. II. ordonne la poursuite de l’enquête en institution d’une mesure de protection en faveur d’A.D.________, né le [...] 1996, célibataire, domicilié rue des [...], dans le but d’évaluer, dans le courant de la seconde année de son apprentissage (2018-2019), l’opportunité de prononcer une mesure au vu de l’évolution de la personne concernée. III, IV, V, VI, VII. Supprimés. La décision est confirmée pour le surplus. III. Les frais judiciaires de deuxième instance sont laissés à la charge de l’Etat. IV. L'arrêt est exécutoire. Le président :              Le greffier : Du L'arrêt qui précède, dont la rédaction a été approuvée à huis clos, est notifié à : ‑ M. A.D.________, ‑ M. et Mme B.D.________, - Office des curatelles et tutelles professionnelles, à l’att. de Mme [...], et communiqué à : ‑ M. le Juge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e éd.,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COPMA 2017], n. 5.77, p. 180). Elle peut confirmer ou modifier la décision attaquée devant elle. Dans des circonstances exceptionnelles, elle peut aussi l'annuler et renvoyer l'affaire à l'autorité précédente,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